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auto"/>
          <w:sz w:val="32"/>
          <w:szCs w:val="32"/>
          <w:shd w:val="clear" w:color="auto" w:fill="FFFFFF"/>
          <w:lang w:eastAsia="zh-CN"/>
        </w:rPr>
      </w:pPr>
      <w:bookmarkStart w:id="12" w:name="_GoBack"/>
      <w:r>
        <w:rPr>
          <w:rFonts w:hint="eastAsia" w:ascii="黑体" w:hAnsi="黑体" w:eastAsia="黑体" w:cs="黑体"/>
          <w:color w:val="auto"/>
          <w:sz w:val="32"/>
          <w:szCs w:val="32"/>
          <w:shd w:val="clear" w:color="auto" w:fill="FFFFFF"/>
          <w:lang w:eastAsia="zh-CN"/>
        </w:rPr>
        <w:t>附件</w:t>
      </w:r>
      <w:r>
        <w:rPr>
          <w:rFonts w:hint="eastAsia" w:ascii="黑体" w:hAnsi="黑体" w:eastAsia="黑体" w:cs="黑体"/>
          <w:color w:val="auto"/>
          <w:sz w:val="32"/>
          <w:szCs w:val="32"/>
          <w:shd w:val="clear" w:color="auto" w:fill="FFFFFF"/>
          <w:lang w:val="en-US" w:eastAsia="zh-CN"/>
        </w:rPr>
        <w:t>1</w:t>
      </w:r>
    </w:p>
    <w:p>
      <w:pPr>
        <w:jc w:val="center"/>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eastAsia="zh-CN"/>
        </w:rPr>
        <w:t>报价单</w:t>
      </w: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报价方</w:t>
      </w:r>
      <w:r>
        <w:rPr>
          <w:rFonts w:hint="eastAsia" w:ascii="宋体" w:hAnsi="宋体" w:cs="宋体"/>
          <w:color w:val="auto"/>
          <w:sz w:val="32"/>
          <w:szCs w:val="32"/>
          <w:lang w:eastAsia="zh-CN"/>
        </w:rPr>
        <w:t>（盖章）</w:t>
      </w:r>
      <w:r>
        <w:rPr>
          <w:rFonts w:hint="eastAsia" w:ascii="宋体" w:hAnsi="宋体" w:eastAsia="宋体" w:cs="宋体"/>
          <w:color w:val="auto"/>
          <w:sz w:val="32"/>
          <w:szCs w:val="32"/>
          <w:lang w:eastAsia="zh-CN"/>
        </w:rPr>
        <w:t>：</w:t>
      </w:r>
    </w:p>
    <w:p>
      <w:pP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日期</w:t>
      </w:r>
      <w:r>
        <w:rPr>
          <w:rFonts w:hint="eastAsia" w:ascii="宋体" w:hAnsi="宋体" w:eastAsia="宋体" w:cs="宋体"/>
          <w:color w:val="auto"/>
          <w:sz w:val="32"/>
          <w:szCs w:val="32"/>
          <w:lang w:eastAsia="zh-CN"/>
        </w:rPr>
        <w:t>：</w:t>
      </w:r>
    </w:p>
    <w:p>
      <w:pPr>
        <w:rPr>
          <w:rFonts w:hint="eastAsia" w:ascii="宋体" w:hAnsi="宋体" w:cs="宋体"/>
          <w:color w:val="auto"/>
          <w:sz w:val="32"/>
          <w:szCs w:val="32"/>
          <w:lang w:eastAsia="zh-CN"/>
        </w:rPr>
      </w:pPr>
      <w:r>
        <w:rPr>
          <w:rFonts w:hint="eastAsia" w:ascii="宋体" w:hAnsi="宋体" w:cs="宋体"/>
          <w:color w:val="auto"/>
          <w:sz w:val="32"/>
          <w:szCs w:val="32"/>
          <w:lang w:eastAsia="zh-CN"/>
        </w:rPr>
        <w:t>联系人：</w:t>
      </w:r>
    </w:p>
    <w:p>
      <w:pPr>
        <w:rPr>
          <w:rFonts w:hint="eastAsia" w:ascii="宋体" w:hAnsi="宋体" w:cs="宋体"/>
          <w:color w:val="auto"/>
          <w:sz w:val="32"/>
          <w:szCs w:val="32"/>
          <w:lang w:eastAsia="zh-CN"/>
        </w:rPr>
      </w:pPr>
      <w:r>
        <w:rPr>
          <w:rFonts w:hint="eastAsia" w:ascii="宋体" w:hAnsi="宋体" w:cs="宋体"/>
          <w:color w:val="auto"/>
          <w:sz w:val="32"/>
          <w:szCs w:val="32"/>
          <w:lang w:eastAsia="zh-CN"/>
        </w:rPr>
        <w:t>联系方式：</w:t>
      </w:r>
    </w:p>
    <w:tbl>
      <w:tblPr>
        <w:tblStyle w:val="4"/>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514"/>
        <w:gridCol w:w="4167"/>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541" w:type="dxa"/>
            <w:noWrap w:val="0"/>
            <w:vAlign w:val="center"/>
          </w:tcPr>
          <w:p>
            <w:pPr>
              <w:spacing w:line="400" w:lineRule="exact"/>
              <w:jc w:val="center"/>
              <w:rPr>
                <w:rFonts w:ascii="宋体" w:hAnsi="宋体"/>
                <w:color w:val="auto"/>
                <w:sz w:val="24"/>
              </w:rPr>
            </w:pPr>
            <w:r>
              <w:rPr>
                <w:rFonts w:hint="eastAsia" w:ascii="宋体" w:hAnsi="宋体"/>
                <w:color w:val="auto"/>
                <w:sz w:val="24"/>
              </w:rPr>
              <w:t>序号</w:t>
            </w:r>
          </w:p>
        </w:tc>
        <w:tc>
          <w:tcPr>
            <w:tcW w:w="1514" w:type="dxa"/>
            <w:noWrap w:val="0"/>
            <w:vAlign w:val="center"/>
          </w:tcPr>
          <w:p>
            <w:pPr>
              <w:spacing w:line="400" w:lineRule="exact"/>
              <w:jc w:val="center"/>
              <w:rPr>
                <w:rFonts w:ascii="宋体" w:hAnsi="宋体"/>
                <w:color w:val="auto"/>
                <w:sz w:val="24"/>
              </w:rPr>
            </w:pPr>
            <w:r>
              <w:rPr>
                <w:rFonts w:hint="eastAsia" w:ascii="宋体" w:hAnsi="宋体"/>
                <w:color w:val="auto"/>
                <w:sz w:val="24"/>
                <w:lang w:val="en-US" w:eastAsia="zh-CN"/>
              </w:rPr>
              <w:t>名称</w:t>
            </w:r>
          </w:p>
        </w:tc>
        <w:tc>
          <w:tcPr>
            <w:tcW w:w="4167" w:type="dxa"/>
            <w:noWrap w:val="0"/>
            <w:vAlign w:val="center"/>
          </w:tcPr>
          <w:p>
            <w:pPr>
              <w:spacing w:line="400" w:lineRule="exact"/>
              <w:jc w:val="center"/>
              <w:rPr>
                <w:rFonts w:hint="eastAsia" w:ascii="宋体" w:hAnsi="宋体" w:eastAsia="宋体"/>
                <w:color w:val="auto"/>
                <w:sz w:val="24"/>
                <w:lang w:eastAsia="zh-CN"/>
              </w:rPr>
            </w:pPr>
            <w:r>
              <w:rPr>
                <w:rFonts w:hint="eastAsia" w:ascii="宋体" w:hAnsi="宋体"/>
                <w:color w:val="auto"/>
                <w:sz w:val="24"/>
                <w:lang w:val="en-US" w:eastAsia="zh-CN"/>
              </w:rPr>
              <w:t>内容</w:t>
            </w:r>
          </w:p>
        </w:tc>
        <w:tc>
          <w:tcPr>
            <w:tcW w:w="2304" w:type="dxa"/>
            <w:noWrap w:val="0"/>
            <w:vAlign w:val="center"/>
          </w:tcPr>
          <w:p>
            <w:pPr>
              <w:spacing w:line="400" w:lineRule="exact"/>
              <w:jc w:val="center"/>
              <w:rPr>
                <w:rFonts w:hint="eastAsia" w:ascii="宋体" w:hAnsi="宋体"/>
                <w:color w:val="auto"/>
                <w:sz w:val="24"/>
                <w:lang w:eastAsia="zh-CN"/>
              </w:rPr>
            </w:pPr>
            <w:r>
              <w:rPr>
                <w:rFonts w:hint="eastAsia" w:ascii="宋体" w:hAnsi="宋体"/>
                <w:color w:val="auto"/>
                <w:sz w:val="24"/>
                <w:lang w:eastAsia="zh-CN"/>
              </w:rPr>
              <w:t>维保费用</w:t>
            </w:r>
            <w:r>
              <w:rPr>
                <w:rFonts w:hint="eastAsia" w:ascii="宋体" w:hAnsi="宋体"/>
                <w:color w:val="auto"/>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541" w:type="dxa"/>
            <w:noWrap w:val="0"/>
            <w:vAlign w:val="center"/>
          </w:tcPr>
          <w:p>
            <w:pPr>
              <w:spacing w:line="400" w:lineRule="exact"/>
              <w:jc w:val="center"/>
              <w:rPr>
                <w:rFonts w:ascii="宋体" w:hAnsi="宋体"/>
                <w:color w:val="auto"/>
                <w:sz w:val="24"/>
              </w:rPr>
            </w:pPr>
            <w:r>
              <w:rPr>
                <w:rFonts w:hint="eastAsia" w:ascii="宋体" w:hAnsi="宋体"/>
                <w:color w:val="auto"/>
                <w:sz w:val="24"/>
              </w:rPr>
              <w:t>1</w:t>
            </w:r>
          </w:p>
        </w:tc>
        <w:tc>
          <w:tcPr>
            <w:tcW w:w="1514" w:type="dxa"/>
            <w:noWrap w:val="0"/>
            <w:vAlign w:val="center"/>
          </w:tcPr>
          <w:p>
            <w:pPr>
              <w:spacing w:line="400" w:lineRule="exact"/>
              <w:jc w:val="center"/>
              <w:rPr>
                <w:rFonts w:hint="eastAsia" w:ascii="宋体" w:hAnsi="宋体"/>
                <w:color w:val="auto"/>
                <w:sz w:val="24"/>
              </w:rPr>
            </w:pPr>
            <w:r>
              <w:rPr>
                <w:rFonts w:hint="eastAsia" w:ascii="宋体" w:hAnsi="宋体"/>
                <w:color w:val="auto"/>
                <w:sz w:val="24"/>
                <w:lang w:eastAsia="zh-CN"/>
              </w:rPr>
              <w:t>信息系统安全评估优化服务</w:t>
            </w:r>
          </w:p>
        </w:tc>
        <w:tc>
          <w:tcPr>
            <w:tcW w:w="4167" w:type="dxa"/>
            <w:noWrap w:val="0"/>
            <w:vAlign w:val="center"/>
          </w:tcPr>
          <w:p>
            <w:pPr>
              <w:spacing w:line="400" w:lineRule="exact"/>
              <w:jc w:val="center"/>
              <w:rPr>
                <w:rFonts w:hint="default" w:ascii="宋体" w:hAnsi="宋体" w:eastAsia="宋体"/>
                <w:color w:val="auto"/>
                <w:sz w:val="24"/>
                <w:lang w:val="en-US" w:eastAsia="zh-CN"/>
              </w:rPr>
            </w:pPr>
            <w:r>
              <w:rPr>
                <w:rFonts w:hint="eastAsia" w:ascii="宋体" w:hAnsi="宋体"/>
                <w:color w:val="auto"/>
                <w:sz w:val="24"/>
                <w:lang w:eastAsia="zh-CN"/>
              </w:rPr>
              <w:t>网络架构安全评估、系统漏洞和配置扫描检查、安全加固等，详见附件</w:t>
            </w:r>
            <w:r>
              <w:rPr>
                <w:rFonts w:hint="eastAsia" w:ascii="宋体" w:hAnsi="宋体"/>
                <w:color w:val="auto"/>
                <w:sz w:val="24"/>
                <w:lang w:val="en-US" w:eastAsia="zh-CN"/>
              </w:rPr>
              <w:t>2</w:t>
            </w:r>
          </w:p>
        </w:tc>
        <w:tc>
          <w:tcPr>
            <w:tcW w:w="2304" w:type="dxa"/>
            <w:noWrap w:val="0"/>
            <w:vAlign w:val="center"/>
          </w:tcPr>
          <w:p>
            <w:pPr>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541" w:type="dxa"/>
            <w:noWrap w:val="0"/>
            <w:vAlign w:val="center"/>
          </w:tcPr>
          <w:p>
            <w:pPr>
              <w:spacing w:line="400" w:lineRule="exact"/>
              <w:jc w:val="center"/>
              <w:rPr>
                <w:rFonts w:hint="eastAsia" w:ascii="宋体" w:hAnsi="宋体" w:eastAsia="宋体"/>
                <w:color w:val="auto"/>
                <w:sz w:val="24"/>
                <w:lang w:val="en-US" w:eastAsia="zh-CN"/>
              </w:rPr>
            </w:pPr>
            <w:r>
              <w:rPr>
                <w:rFonts w:hint="eastAsia" w:ascii="宋体" w:hAnsi="宋体"/>
                <w:color w:val="auto"/>
                <w:sz w:val="24"/>
                <w:lang w:val="en-US" w:eastAsia="zh-CN"/>
              </w:rPr>
              <w:t>2</w:t>
            </w:r>
          </w:p>
        </w:tc>
        <w:tc>
          <w:tcPr>
            <w:tcW w:w="1514" w:type="dxa"/>
            <w:noWrap w:val="0"/>
            <w:vAlign w:val="center"/>
          </w:tcPr>
          <w:p>
            <w:pPr>
              <w:spacing w:line="400" w:lineRule="exact"/>
              <w:jc w:val="center"/>
              <w:rPr>
                <w:rFonts w:hint="eastAsia" w:ascii="宋体" w:hAnsi="宋体"/>
                <w:color w:val="auto"/>
                <w:sz w:val="24"/>
              </w:rPr>
            </w:pPr>
            <w:r>
              <w:rPr>
                <w:rFonts w:hint="eastAsia" w:ascii="宋体" w:hAnsi="宋体"/>
                <w:color w:val="auto"/>
                <w:sz w:val="24"/>
                <w:lang w:eastAsia="zh-CN"/>
              </w:rPr>
              <w:t>支撑、保障服务</w:t>
            </w:r>
          </w:p>
        </w:tc>
        <w:tc>
          <w:tcPr>
            <w:tcW w:w="4167" w:type="dxa"/>
            <w:noWrap w:val="0"/>
            <w:vAlign w:val="center"/>
          </w:tcPr>
          <w:p>
            <w:pPr>
              <w:spacing w:line="400" w:lineRule="exact"/>
              <w:jc w:val="both"/>
              <w:rPr>
                <w:rFonts w:hint="default" w:ascii="宋体" w:hAnsi="宋体" w:eastAsia="宋体"/>
                <w:color w:val="auto"/>
                <w:sz w:val="24"/>
                <w:lang w:val="en-US" w:eastAsia="zh-CN"/>
              </w:rPr>
            </w:pPr>
            <w:r>
              <w:rPr>
                <w:rFonts w:hint="eastAsia" w:ascii="宋体" w:hAnsi="宋体"/>
                <w:color w:val="auto"/>
                <w:sz w:val="24"/>
                <w:lang w:eastAsia="zh-CN"/>
              </w:rPr>
              <w:t>漏洞扫描和安全配置核查服务，安全巡检服务，安全日志采集、分析服务，详见附件</w:t>
            </w:r>
            <w:r>
              <w:rPr>
                <w:rFonts w:hint="eastAsia" w:ascii="宋体" w:hAnsi="宋体"/>
                <w:color w:val="auto"/>
                <w:sz w:val="24"/>
                <w:lang w:val="en-US" w:eastAsia="zh-CN"/>
              </w:rPr>
              <w:t>2</w:t>
            </w:r>
          </w:p>
        </w:tc>
        <w:tc>
          <w:tcPr>
            <w:tcW w:w="2304" w:type="dxa"/>
            <w:noWrap w:val="0"/>
            <w:vAlign w:val="center"/>
          </w:tcPr>
          <w:p>
            <w:pPr>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2055" w:type="dxa"/>
            <w:gridSpan w:val="2"/>
            <w:noWrap w:val="0"/>
            <w:vAlign w:val="top"/>
          </w:tcPr>
          <w:p>
            <w:pPr>
              <w:spacing w:line="400" w:lineRule="exact"/>
              <w:rPr>
                <w:rFonts w:ascii="宋体" w:hAnsi="宋体"/>
                <w:color w:val="auto"/>
                <w:sz w:val="24"/>
              </w:rPr>
            </w:pPr>
            <w:r>
              <w:rPr>
                <w:rFonts w:hint="eastAsia" w:ascii="宋体" w:hAnsi="宋体"/>
                <w:color w:val="auto"/>
                <w:sz w:val="24"/>
              </w:rPr>
              <w:t>合计：</w:t>
            </w:r>
          </w:p>
        </w:tc>
        <w:tc>
          <w:tcPr>
            <w:tcW w:w="4167" w:type="dxa"/>
            <w:noWrap w:val="0"/>
            <w:vAlign w:val="top"/>
          </w:tcPr>
          <w:p>
            <w:pPr>
              <w:spacing w:line="400" w:lineRule="exact"/>
              <w:jc w:val="center"/>
              <w:rPr>
                <w:rFonts w:ascii="宋体" w:hAnsi="宋体"/>
                <w:color w:val="auto"/>
                <w:sz w:val="24"/>
              </w:rPr>
            </w:pPr>
          </w:p>
        </w:tc>
        <w:tc>
          <w:tcPr>
            <w:tcW w:w="2304" w:type="dxa"/>
            <w:noWrap w:val="0"/>
            <w:vAlign w:val="top"/>
          </w:tcPr>
          <w:p>
            <w:pPr>
              <w:spacing w:line="400" w:lineRule="exact"/>
              <w:jc w:val="center"/>
              <w:rPr>
                <w:rFonts w:hint="default" w:ascii="宋体" w:hAnsi="宋体" w:eastAsia="宋体"/>
                <w:color w:val="auto"/>
                <w:sz w:val="24"/>
                <w:lang w:val="en-US" w:eastAsia="zh-CN"/>
              </w:rPr>
            </w:pPr>
            <w:r>
              <w:rPr>
                <w:rFonts w:hint="eastAsia" w:ascii="宋体" w:hAnsi="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26" w:type="dxa"/>
            <w:gridSpan w:val="4"/>
            <w:noWrap w:val="0"/>
            <w:vAlign w:val="top"/>
          </w:tcPr>
          <w:p>
            <w:pPr>
              <w:numPr>
                <w:ilvl w:val="0"/>
                <w:numId w:val="0"/>
              </w:numPr>
              <w:spacing w:line="400" w:lineRule="exact"/>
              <w:jc w:val="left"/>
              <w:rPr>
                <w:rFonts w:hint="eastAsia" w:ascii="宋体" w:hAnsi="宋体"/>
                <w:color w:val="auto"/>
                <w:sz w:val="24"/>
                <w:lang w:eastAsia="zh-CN"/>
              </w:rPr>
            </w:pPr>
            <w:r>
              <w:rPr>
                <w:rFonts w:hint="eastAsia" w:ascii="宋体" w:hAnsi="宋体"/>
                <w:color w:val="auto"/>
                <w:sz w:val="24"/>
              </w:rPr>
              <w:t>备注</w:t>
            </w:r>
            <w:r>
              <w:rPr>
                <w:rFonts w:hint="eastAsia" w:ascii="宋体" w:hAnsi="宋体"/>
                <w:color w:val="auto"/>
                <w:sz w:val="24"/>
                <w:lang w:eastAsia="zh-CN"/>
              </w:rPr>
              <w:t>：</w:t>
            </w:r>
          </w:p>
          <w:p>
            <w:pPr>
              <w:numPr>
                <w:ilvl w:val="0"/>
                <w:numId w:val="0"/>
              </w:numPr>
              <w:spacing w:line="400" w:lineRule="exact"/>
              <w:jc w:val="left"/>
              <w:rPr>
                <w:rFonts w:ascii="宋体" w:hAnsi="宋体"/>
                <w:color w:val="auto"/>
                <w:sz w:val="24"/>
              </w:rPr>
            </w:pPr>
            <w:r>
              <w:rPr>
                <w:rFonts w:hint="eastAsia" w:ascii="宋体" w:hAnsi="宋体"/>
                <w:color w:val="auto"/>
                <w:sz w:val="24"/>
                <w:lang w:eastAsia="zh-CN"/>
              </w:rPr>
              <w:t>项目服务内容以附件</w:t>
            </w:r>
            <w:r>
              <w:rPr>
                <w:rFonts w:hint="eastAsia" w:ascii="宋体" w:hAnsi="宋体"/>
                <w:color w:val="auto"/>
                <w:sz w:val="24"/>
                <w:lang w:val="en-US" w:eastAsia="zh-CN"/>
              </w:rPr>
              <w:t>2为依据，报价方可提供补充服务内容并作为附件提交</w:t>
            </w:r>
            <w:r>
              <w:rPr>
                <w:rFonts w:hint="eastAsia" w:ascii="宋体" w:hAnsi="宋体"/>
                <w:color w:val="auto"/>
                <w:sz w:val="24"/>
                <w:lang w:eastAsia="zh-CN"/>
              </w:rPr>
              <w:t>。</w:t>
            </w:r>
          </w:p>
          <w:p>
            <w:pPr>
              <w:numPr>
                <w:ilvl w:val="0"/>
                <w:numId w:val="0"/>
              </w:numPr>
              <w:spacing w:line="400" w:lineRule="exact"/>
              <w:jc w:val="left"/>
              <w:rPr>
                <w:rFonts w:hint="eastAsia" w:ascii="宋体" w:hAnsi="宋体"/>
                <w:color w:val="auto"/>
                <w:sz w:val="24"/>
              </w:rPr>
            </w:pPr>
            <w:r>
              <w:rPr>
                <w:rFonts w:hint="eastAsia" w:ascii="宋体" w:hAnsi="宋体"/>
                <w:color w:val="auto"/>
                <w:sz w:val="24"/>
              </w:rPr>
              <w:t xml:space="preserve"> </w:t>
            </w:r>
          </w:p>
        </w:tc>
      </w:tr>
    </w:tbl>
    <w:p>
      <w:pPr>
        <w:numPr>
          <w:ilvl w:val="0"/>
          <w:numId w:val="0"/>
        </w:numPr>
        <w:rPr>
          <w:rFonts w:hint="eastAsia" w:asciiTheme="minorEastAsia" w:hAnsiTheme="minorEastAsia" w:eastAsiaTheme="minorEastAsia"/>
          <w:color w:val="auto"/>
          <w:lang w:val="en-US" w:eastAsia="zh-CN"/>
        </w:rPr>
      </w:pPr>
    </w:p>
    <w:p>
      <w:pPr>
        <w:rPr>
          <w:rFonts w:hint="eastAsia" w:asciiTheme="minorEastAsia" w:hAnsiTheme="minorEastAsia" w:eastAsiaTheme="minorEastAsia"/>
          <w:color w:val="auto"/>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eastAsia="zh-CN"/>
        </w:rPr>
      </w:pPr>
    </w:p>
    <w:p>
      <w:pPr>
        <w:outlineLvl w:val="0"/>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eastAsia="zh-CN"/>
        </w:rPr>
        <w:t>附件</w:t>
      </w:r>
      <w:r>
        <w:rPr>
          <w:rFonts w:hint="eastAsia" w:ascii="黑体" w:hAnsi="黑体" w:eastAsia="黑体" w:cs="黑体"/>
          <w:color w:val="auto"/>
          <w:sz w:val="32"/>
          <w:szCs w:val="32"/>
          <w:shd w:val="clear" w:color="auto" w:fill="FFFFFF"/>
          <w:lang w:val="en-US" w:eastAsia="zh-CN"/>
        </w:rPr>
        <w:t>2</w:t>
      </w:r>
    </w:p>
    <w:p>
      <w:pPr>
        <w:jc w:val="center"/>
        <w:outlineLvl w:val="0"/>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项目服务内容</w:t>
      </w:r>
    </w:p>
    <w:p>
      <w:pPr>
        <w:outlineLvl w:val="0"/>
        <w:rPr>
          <w:rFonts w:hint="eastAsia" w:asciiTheme="minorEastAsia" w:hAnsiTheme="minorEastAsia" w:eastAsiaTheme="minorEastAsia"/>
          <w:color w:val="auto"/>
        </w:rPr>
      </w:pPr>
      <w:r>
        <w:rPr>
          <w:rFonts w:hint="eastAsia" w:asciiTheme="minorEastAsia" w:hAnsiTheme="minorEastAsia" w:eastAsiaTheme="minorEastAsia"/>
          <w:color w:val="auto"/>
        </w:rPr>
        <w:t>（一）服务规范</w:t>
      </w:r>
    </w:p>
    <w:p>
      <w:pPr>
        <w:spacing w:after="120"/>
        <w:ind w:firstLine="420"/>
        <w:rPr>
          <w:rFonts w:hint="eastAsia" w:cs="Arial" w:asciiTheme="minorEastAsia" w:hAnsiTheme="minorEastAsia" w:eastAsiaTheme="minorEastAsia"/>
          <w:color w:val="auto"/>
        </w:rPr>
      </w:pPr>
      <w:r>
        <w:rPr>
          <w:rFonts w:hint="eastAsia" w:asciiTheme="minorEastAsia" w:hAnsiTheme="minorEastAsia" w:eastAsiaTheme="minorEastAsia"/>
          <w:color w:val="auto"/>
        </w:rPr>
        <w:t>安全服务供应商</w:t>
      </w:r>
      <w:r>
        <w:rPr>
          <w:rFonts w:hint="eastAsia" w:cs="Arial" w:asciiTheme="minorEastAsia" w:hAnsiTheme="minorEastAsia" w:eastAsiaTheme="minorEastAsia"/>
          <w:color w:val="auto"/>
        </w:rPr>
        <w:t>所提供的所有服务应符合技术标准的要求如下：</w:t>
      </w:r>
    </w:p>
    <w:p>
      <w:pPr>
        <w:spacing w:after="12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1、符合有关标准(如ISO、IEEE、ITU-T、ETSI、IETF、OMA、3GPP等)的，安全服务供应商应在投标书中具体说明，并附上相应的详细技术资料。</w:t>
      </w:r>
    </w:p>
    <w:p>
      <w:pPr>
        <w:spacing w:after="12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2、若安全服务供应商的服务包含自己的专用标准，应在投标书中具体说明，并附上相应的详细技术资料。</w:t>
      </w:r>
    </w:p>
    <w:p>
      <w:pPr>
        <w:spacing w:after="12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3、遵循《信息安全技术 信息安全评估规范》（GB/T20984-2007），《信息安全技术信息系统安全等级保护基本要求》（GB/T22239-2008），《中华人民共和国计算机信息系统安全保护条列》。</w:t>
      </w:r>
    </w:p>
    <w:p>
      <w:pPr>
        <w:spacing w:after="120"/>
        <w:rPr>
          <w:rFonts w:hint="eastAsia" w:asciiTheme="minorEastAsia" w:hAnsiTheme="minorEastAsia" w:eastAsiaTheme="minorEastAsia"/>
          <w:color w:val="auto"/>
        </w:rPr>
      </w:pPr>
      <w:r>
        <w:rPr>
          <w:rFonts w:hint="eastAsia" w:cs="Arial" w:asciiTheme="minorEastAsia" w:hAnsiTheme="minorEastAsia" w:eastAsiaTheme="minorEastAsia"/>
          <w:color w:val="auto"/>
        </w:rPr>
        <w:t>4、安全服务还应依据</w:t>
      </w:r>
      <w:r>
        <w:rPr>
          <w:rFonts w:hint="eastAsia" w:cs="Arial" w:asciiTheme="minorEastAsia" w:hAnsiTheme="minorEastAsia" w:eastAsiaTheme="minorEastAsia"/>
          <w:color w:val="auto"/>
          <w:lang w:eastAsia="zh-CN"/>
        </w:rPr>
        <w:t>自然资源部海岛研究中心（以下称甲方）</w:t>
      </w:r>
      <w:r>
        <w:rPr>
          <w:rFonts w:hint="eastAsia" w:cs="Arial" w:asciiTheme="minorEastAsia" w:hAnsiTheme="minorEastAsia" w:eastAsiaTheme="minorEastAsia"/>
          <w:color w:val="auto"/>
        </w:rPr>
        <w:t>已经发布的各类配置规范进行。</w:t>
      </w:r>
    </w:p>
    <w:p>
      <w:pPr>
        <w:outlineLvl w:val="0"/>
        <w:rPr>
          <w:rFonts w:hint="eastAsia" w:asciiTheme="minorEastAsia" w:hAnsiTheme="minorEastAsia" w:eastAsiaTheme="minorEastAsia"/>
          <w:color w:val="auto"/>
        </w:rPr>
      </w:pPr>
      <w:r>
        <w:rPr>
          <w:rFonts w:hint="eastAsia" w:asciiTheme="minorEastAsia" w:hAnsiTheme="minorEastAsia" w:eastAsiaTheme="minorEastAsia"/>
          <w:color w:val="auto"/>
        </w:rPr>
        <w:t>（二）服务原则</w:t>
      </w:r>
    </w:p>
    <w:p>
      <w:pPr>
        <w:spacing w:after="156" w:afterLines="5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1、安全服务应严格遵守保密原则，对服务的过程数据和结果数据严格保密，未经授权不得泄露给任何单位和个人，不得利用此数据进行任何侵害</w:t>
      </w:r>
      <w:r>
        <w:rPr>
          <w:rFonts w:hint="eastAsia" w:cs="Arial" w:asciiTheme="minorEastAsia" w:hAnsiTheme="minorEastAsia" w:eastAsiaTheme="minorEastAsia"/>
          <w:color w:val="auto"/>
          <w:lang w:eastAsia="zh-CN"/>
        </w:rPr>
        <w:t>甲方</w:t>
      </w:r>
      <w:r>
        <w:rPr>
          <w:rFonts w:hint="eastAsia" w:cs="Arial" w:asciiTheme="minorEastAsia" w:hAnsiTheme="minorEastAsia" w:eastAsiaTheme="minorEastAsia"/>
          <w:color w:val="auto"/>
        </w:rPr>
        <w:t>网络的行为，否则</w:t>
      </w:r>
      <w:r>
        <w:rPr>
          <w:rFonts w:hint="eastAsia" w:cs="Arial" w:asciiTheme="minorEastAsia" w:hAnsiTheme="minorEastAsia" w:eastAsiaTheme="minorEastAsia"/>
          <w:color w:val="auto"/>
          <w:lang w:eastAsia="zh-CN"/>
        </w:rPr>
        <w:t>甲方</w:t>
      </w:r>
      <w:r>
        <w:rPr>
          <w:rFonts w:hint="eastAsia" w:cs="Arial" w:asciiTheme="minorEastAsia" w:hAnsiTheme="minorEastAsia" w:eastAsiaTheme="minorEastAsia"/>
          <w:color w:val="auto"/>
        </w:rPr>
        <w:t>有权追究安全服务供应商的责任。</w:t>
      </w:r>
    </w:p>
    <w:p>
      <w:pPr>
        <w:spacing w:after="156" w:afterLines="5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2、服务方案的设计与实施应依据国内或国际的相关标准进行；</w:t>
      </w:r>
    </w:p>
    <w:p>
      <w:pPr>
        <w:spacing w:after="156" w:afterLines="5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3、服务用的工具、方法和过程要在双方认可的范围之内，服务的进度要跟上进度表的安排，保证需求方对于服务工作的可控性；</w:t>
      </w:r>
    </w:p>
    <w:p>
      <w:pPr>
        <w:spacing w:after="156" w:afterLines="5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4、服务的范围和内容应当整体全面，包括安全涉及的各个层面，避免由于遗漏造成未来的安全隐患。且服务中的过程和文档，具有严格的规范性，可以便于项目的跟踪和控制</w:t>
      </w:r>
    </w:p>
    <w:p>
      <w:pPr>
        <w:spacing w:after="156" w:afterLines="50"/>
        <w:rPr>
          <w:rFonts w:hint="eastAsia" w:cs="Arial" w:asciiTheme="minorEastAsia" w:hAnsiTheme="minorEastAsia" w:eastAsiaTheme="minorEastAsia"/>
          <w:color w:val="auto"/>
        </w:rPr>
      </w:pPr>
      <w:r>
        <w:rPr>
          <w:rFonts w:hint="eastAsia" w:cs="Arial" w:asciiTheme="minorEastAsia" w:hAnsiTheme="minorEastAsia" w:eastAsiaTheme="minorEastAsia"/>
          <w:color w:val="auto"/>
        </w:rPr>
        <w:t>5、服务工作应尽可能小的影响系统和网络的正常运行，不能对现网的运行和业务的正常提供产生显著影响（包括系统性能明显下降、网络拥塞、服务中断，如无法避免出现这些情况应在服务方案中详细描述）；</w:t>
      </w:r>
    </w:p>
    <w:p>
      <w:pPr>
        <w:outlineLvl w:val="0"/>
        <w:rPr>
          <w:rFonts w:hint="eastAsia" w:asciiTheme="minorEastAsia" w:hAnsiTheme="minorEastAsia" w:eastAsiaTheme="minorEastAsia"/>
          <w:color w:val="auto"/>
        </w:rPr>
      </w:pPr>
      <w:r>
        <w:rPr>
          <w:rFonts w:hint="eastAsia" w:asciiTheme="minorEastAsia" w:hAnsiTheme="minorEastAsia" w:eastAsiaTheme="minorEastAsia"/>
          <w:color w:val="auto"/>
        </w:rPr>
        <w:t>（三）服务内容</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安全服务供应商应对</w:t>
      </w:r>
      <w:r>
        <w:rPr>
          <w:rFonts w:hint="eastAsia" w:asciiTheme="minorEastAsia" w:hAnsiTheme="minorEastAsia" w:eastAsiaTheme="minorEastAsia"/>
          <w:color w:val="auto"/>
          <w:lang w:eastAsia="zh-CN"/>
        </w:rPr>
        <w:t>自然资源部海岛研究中心</w:t>
      </w:r>
      <w:r>
        <w:rPr>
          <w:rFonts w:hint="eastAsia" w:asciiTheme="minorEastAsia" w:hAnsiTheme="minorEastAsia" w:eastAsiaTheme="minorEastAsia"/>
          <w:color w:val="auto"/>
        </w:rPr>
        <w:t>信息系统所涉及的所有应用业务系统、网站系统、网上服务</w:t>
      </w:r>
      <w:r>
        <w:rPr>
          <w:rFonts w:hint="eastAsia" w:asciiTheme="minorEastAsia" w:hAnsiTheme="minorEastAsia" w:eastAsiaTheme="minorEastAsia"/>
          <w:color w:val="auto"/>
          <w:lang w:val="en-US" w:eastAsia="zh-CN"/>
        </w:rPr>
        <w:t>等</w:t>
      </w:r>
      <w:r>
        <w:rPr>
          <w:rFonts w:hint="eastAsia" w:asciiTheme="minorEastAsia" w:hAnsiTheme="minorEastAsia" w:eastAsiaTheme="minorEastAsia"/>
          <w:color w:val="auto"/>
        </w:rPr>
        <w:t>系统。</w:t>
      </w:r>
    </w:p>
    <w:p>
      <w:pPr>
        <w:outlineLvl w:val="1"/>
        <w:rPr>
          <w:rFonts w:hint="eastAsia" w:asciiTheme="minorEastAsia" w:hAnsiTheme="minorEastAsia" w:eastAsiaTheme="minorEastAsia"/>
          <w:color w:val="auto"/>
        </w:rPr>
      </w:pPr>
      <w:r>
        <w:rPr>
          <w:rFonts w:hint="eastAsia" w:asciiTheme="minorEastAsia" w:hAnsiTheme="minorEastAsia" w:eastAsiaTheme="minorEastAsia"/>
          <w:color w:val="auto"/>
        </w:rPr>
        <w:t>1、信息系统安全评估优化服务</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(1)在服务期内安全服务供应商为</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提供业务系统评估优化服务，</w:t>
      </w:r>
      <w:r>
        <w:rPr>
          <w:rFonts w:hint="eastAsia" w:cs="Arial" w:asciiTheme="minorEastAsia" w:hAnsiTheme="minorEastAsia" w:eastAsiaTheme="minorEastAsia"/>
          <w:color w:val="auto"/>
          <w:szCs w:val="21"/>
        </w:rPr>
        <w:t>主要包括：网络架构安全评估、系统漏洞和配置扫描检查、安全加固等。</w:t>
      </w:r>
      <w:r>
        <w:rPr>
          <w:rFonts w:hint="eastAsia" w:asciiTheme="minorEastAsia" w:hAnsiTheme="minorEastAsia" w:eastAsiaTheme="minorEastAsia"/>
          <w:color w:val="auto"/>
          <w:szCs w:val="21"/>
        </w:rPr>
        <w:t>该服务需严格参照下列标准进行：</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GB/T20984-2007信息安全技术 信息安全风险评估规范</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GB/T22239-2008信息安全技术信息系统安全等级保护基本要求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GB/T22239-2008信息安全技术信息系统安全等级保护基本要求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20270-2006 信息安全技术网络基础安全技术要求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20271-2006 信息安全技术信息系统通用安全技术要求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20272-2006 信息安全技术操作系统安全技术要求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20273-2006 信息安全技术数据库管理系统安全技术要求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20228-2007 信息安全技术服务器安全技术要求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21050-2007 信息安全技术网络交换机安全技术要求</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GB/T 18018-2007 信息安全技术路由器安全技术要求</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GB/T 20988-2007信息系统灾难恢复规范</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(2)安全服务供应商应依据</w:t>
      </w:r>
      <w:r>
        <w:rPr>
          <w:rFonts w:hint="eastAsia" w:cs="Arial" w:asciiTheme="minorEastAsia" w:hAnsiTheme="minorEastAsia" w:eastAsiaTheme="minorEastAsia"/>
          <w:color w:val="auto"/>
          <w:szCs w:val="21"/>
        </w:rPr>
        <w:t>相关</w:t>
      </w:r>
      <w:r>
        <w:rPr>
          <w:rFonts w:hint="eastAsia" w:asciiTheme="minorEastAsia" w:hAnsiTheme="minorEastAsia" w:eastAsiaTheme="minorEastAsia"/>
          <w:color w:val="auto"/>
          <w:szCs w:val="21"/>
        </w:rPr>
        <w:t>规范对项目范围内所涉及的所有防火墙、路由器、交换机、服务器等设备的安全配置的合理性进行检查。并根据合理的业务数据流和运维管理数据流提出安全设备部署位置建议，实施策略优化调整或提出优化建议。</w:t>
      </w:r>
    </w:p>
    <w:p>
      <w:pPr>
        <w:pStyle w:val="2"/>
        <w:spacing w:before="24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(3)安全服务供应商应对每次评估的结果进行综合分析，形成评估报告。要求提供的报告列表如下，但不限于以下内容：</w:t>
      </w:r>
    </w:p>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评估阶段最终报告，内容应当包括：</w:t>
      </w:r>
    </w:p>
    <w:p>
      <w:pPr>
        <w:numPr>
          <w:ilvl w:val="0"/>
          <w:numId w:val="3"/>
        </w:numPr>
        <w:spacing w:after="156" w:afterLines="50"/>
        <w:rPr>
          <w:rFonts w:hint="eastAsia" w:asciiTheme="minorEastAsia" w:hAnsiTheme="minorEastAsia" w:eastAsiaTheme="minorEastAsia"/>
          <w:color w:val="auto"/>
          <w:szCs w:val="21"/>
        </w:rPr>
      </w:pPr>
      <w:r>
        <w:rPr>
          <w:rFonts w:hint="eastAsia" w:asciiTheme="minorEastAsia" w:hAnsiTheme="minorEastAsia" w:eastAsiaTheme="minorEastAsia"/>
          <w:color w:val="auto"/>
        </w:rPr>
        <w:t>漏洞评估，要求包括但不限于以下方面的漏洞分析：网络结构、网络设备、安全设备、主机设备。</w:t>
      </w:r>
    </w:p>
    <w:p>
      <w:pPr>
        <w:numPr>
          <w:ilvl w:val="0"/>
          <w:numId w:val="3"/>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风险评估，说明风险计算方法，要求包括但不限于以下方面的风险分析：网络结构、网络服务、网络设备、设备配置、主机系统、安全策略。</w:t>
      </w:r>
    </w:p>
    <w:p>
      <w:pPr>
        <w:numPr>
          <w:ilvl w:val="0"/>
          <w:numId w:val="3"/>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应对风险的结果进行统计分析，形成风险分布统计报表、风险严重程度统计报表；并在安全服务方案中提供图样示例。</w:t>
      </w:r>
    </w:p>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业务系统信息安全优化方案和实施建议，并应注意以下几点：</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实施风险削减建议的优先度，便于</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在评估后根据揭示出的安全风险建立实施风险管理的计划；</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提请注意风险削减与实施费用的平衡控制，做到适度安全；</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提出的具体整改措施、方案、建议等，应覆盖所有评估内容</w:t>
      </w:r>
    </w:p>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评估过程报告</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《XXX业务系统主机设备安全漏洞扫描报告》；</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《XXX业务系统主机设备安全配置检查报告》；</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《XXX业务系统主机设备安全加固方案》；</w:t>
      </w:r>
    </w:p>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安全优化过程报告</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《XXX业务系统主机设备安全漏洞扫描对比分析报告》；</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《XXX业务系统主机设备安全配置对比分析报告》；</w:t>
      </w:r>
    </w:p>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项目管理报告</w:t>
      </w:r>
    </w:p>
    <w:p>
      <w:pPr>
        <w:pStyle w:val="2"/>
        <w:numPr>
          <w:ilvl w:val="0"/>
          <w:numId w:val="2"/>
        </w:numPr>
        <w:spacing w:after="156"/>
        <w:ind w:firstLineChars="0"/>
        <w:rPr>
          <w:rFonts w:hint="eastAsia" w:cs="Arial" w:asciiTheme="minorEastAsia" w:hAnsiTheme="minorEastAsia" w:eastAsiaTheme="minorEastAsia"/>
          <w:color w:val="auto"/>
          <w:szCs w:val="21"/>
        </w:rPr>
      </w:pPr>
      <w:r>
        <w:rPr>
          <w:rFonts w:hint="eastAsia" w:asciiTheme="minorEastAsia" w:hAnsiTheme="minorEastAsia" w:eastAsiaTheme="minorEastAsia"/>
          <w:color w:val="auto"/>
          <w:szCs w:val="21"/>
        </w:rPr>
        <w:t>《项目实施进展周报》</w:t>
      </w:r>
    </w:p>
    <w:p>
      <w:pPr>
        <w:outlineLvl w:val="1"/>
        <w:rPr>
          <w:rFonts w:hint="eastAsia" w:asciiTheme="minorEastAsia" w:hAnsiTheme="minorEastAsia" w:eastAsiaTheme="minorEastAsia"/>
          <w:color w:val="auto"/>
          <w:szCs w:val="21"/>
        </w:rPr>
      </w:pPr>
      <w:bookmarkStart w:id="0" w:name="_Toc342039154"/>
      <w:r>
        <w:rPr>
          <w:rFonts w:hint="eastAsia" w:asciiTheme="minorEastAsia" w:hAnsiTheme="minorEastAsia" w:eastAsiaTheme="minorEastAsia"/>
          <w:color w:val="auto"/>
        </w:rPr>
        <w:t>2、支撑、保障服务技术要求</w:t>
      </w:r>
      <w:bookmarkEnd w:id="0"/>
      <w:bookmarkStart w:id="1" w:name="_Toc342039155"/>
    </w:p>
    <w:p>
      <w:pPr>
        <w:outlineLvl w:val="2"/>
        <w:rPr>
          <w:rFonts w:hint="eastAsia" w:asciiTheme="minorEastAsia" w:hAnsiTheme="minorEastAsia" w:eastAsiaTheme="minorEastAsia"/>
          <w:color w:val="auto"/>
        </w:rPr>
      </w:pPr>
      <w:r>
        <w:rPr>
          <w:rFonts w:hint="eastAsia" w:asciiTheme="minorEastAsia" w:hAnsiTheme="minorEastAsia" w:eastAsiaTheme="minorEastAsia"/>
          <w:color w:val="auto"/>
        </w:rPr>
        <w:tab/>
      </w:r>
      <w:r>
        <w:rPr>
          <w:rFonts w:hint="eastAsia" w:asciiTheme="minorEastAsia" w:hAnsiTheme="minorEastAsia" w:eastAsiaTheme="minorEastAsia"/>
          <w:color w:val="auto"/>
        </w:rPr>
        <w:t>（1）漏洞扫描和安全配置核查服务</w:t>
      </w:r>
      <w:bookmarkEnd w:id="1"/>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安全服务供应商需提供自合同签订后</w:t>
      </w:r>
      <w:r>
        <w:rPr>
          <w:rFonts w:hint="eastAsia" w:asciiTheme="minorEastAsia" w:hAnsiTheme="minorEastAsia" w:eastAsiaTheme="minorEastAsia"/>
          <w:color w:val="auto"/>
          <w:szCs w:val="21"/>
          <w:lang w:eastAsia="zh-CN"/>
        </w:rPr>
        <w:t>1年</w:t>
      </w:r>
      <w:r>
        <w:rPr>
          <w:rFonts w:hint="eastAsia" w:asciiTheme="minorEastAsia" w:hAnsiTheme="minorEastAsia" w:eastAsiaTheme="minorEastAsia"/>
          <w:color w:val="auto"/>
          <w:szCs w:val="21"/>
        </w:rPr>
        <w:t>期的</w:t>
      </w:r>
      <w:r>
        <w:rPr>
          <w:rFonts w:hint="eastAsia" w:asciiTheme="minorEastAsia" w:hAnsiTheme="minorEastAsia" w:eastAsiaTheme="minorEastAsia"/>
          <w:bCs/>
          <w:color w:val="auto"/>
          <w:szCs w:val="21"/>
        </w:rPr>
        <w:t>漏洞扫描和安全配置核查</w:t>
      </w:r>
      <w:r>
        <w:rPr>
          <w:rFonts w:hint="eastAsia" w:asciiTheme="minorEastAsia" w:hAnsiTheme="minorEastAsia" w:eastAsiaTheme="minorEastAsia"/>
          <w:color w:val="auto"/>
          <w:szCs w:val="21"/>
        </w:rPr>
        <w:t>服务，服务频度每</w:t>
      </w:r>
      <w:r>
        <w:rPr>
          <w:rFonts w:hint="eastAsia" w:asciiTheme="minorEastAsia" w:hAnsiTheme="minorEastAsia" w:eastAsiaTheme="minorEastAsia"/>
          <w:color w:val="auto"/>
          <w:szCs w:val="21"/>
          <w:lang w:val="en-US" w:eastAsia="zh-CN"/>
        </w:rPr>
        <w:t>半年</w:t>
      </w:r>
      <w:r>
        <w:rPr>
          <w:rFonts w:hint="eastAsia" w:asciiTheme="minorEastAsia" w:hAnsiTheme="minorEastAsia" w:eastAsiaTheme="minorEastAsia"/>
          <w:color w:val="auto"/>
          <w:szCs w:val="21"/>
        </w:rPr>
        <w:t>一次</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全年不低于2次</w:t>
      </w:r>
      <w:r>
        <w:rPr>
          <w:rFonts w:hint="eastAsia" w:asciiTheme="minorEastAsia" w:hAnsiTheme="minorEastAsia" w:eastAsiaTheme="minorEastAsia"/>
          <w:color w:val="auto"/>
          <w:szCs w:val="21"/>
        </w:rPr>
        <w:t>。</w:t>
      </w:r>
    </w:p>
    <w:p>
      <w:pPr>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rPr>
        <w:t>实施风险控制</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在进行漏洞扫描和安全配置核查前，安全服务供应商需进行小范围的模拟试验，检验漏洞扫描和安全配置核查的有效性和安全可靠性。</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在漏洞扫描和</w:t>
      </w:r>
      <w:r>
        <w:rPr>
          <w:rFonts w:hint="eastAsia" w:asciiTheme="minorEastAsia" w:hAnsiTheme="minorEastAsia" w:eastAsiaTheme="minorEastAsia"/>
          <w:bCs/>
          <w:color w:val="auto"/>
          <w:szCs w:val="21"/>
        </w:rPr>
        <w:t>安全配置核查</w:t>
      </w:r>
      <w:r>
        <w:rPr>
          <w:rFonts w:hint="eastAsia" w:asciiTheme="minorEastAsia" w:hAnsiTheme="minorEastAsia" w:eastAsiaTheme="minorEastAsia"/>
          <w:color w:val="auto"/>
          <w:szCs w:val="21"/>
        </w:rPr>
        <w:t>过程中安全实施顾问会对操作的每一个步骤及系统状态进行详细记录，一旦发现异常立刻退回上一步。</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在漏洞扫描和安全配置核查过程中，需要</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相关人员全程跟进，对要检查的系统进行确认，对可能存在的风险由安全服务供应商及时提出，确认后再进行漏洞扫描和安全配置核查。</w:t>
      </w:r>
    </w:p>
    <w:p>
      <w:pPr>
        <w:outlineLvl w:val="2"/>
        <w:rPr>
          <w:rFonts w:hint="eastAsia" w:asciiTheme="minorEastAsia" w:hAnsiTheme="minorEastAsia" w:eastAsiaTheme="minorEastAsia"/>
          <w:b/>
          <w:color w:val="auto"/>
          <w:szCs w:val="21"/>
        </w:rPr>
      </w:pPr>
      <w:bookmarkStart w:id="2" w:name="_Toc342039157"/>
      <w:bookmarkStart w:id="3" w:name="_Toc319413067"/>
      <w:r>
        <w:rPr>
          <w:rFonts w:hint="eastAsia" w:asciiTheme="minorEastAsia" w:hAnsiTheme="minorEastAsia" w:eastAsiaTheme="minorEastAsia"/>
          <w:b/>
          <w:color w:val="auto"/>
        </w:rPr>
        <w:t>漏洞扫描和配置核查服务框架</w:t>
      </w:r>
      <w:bookmarkEnd w:id="2"/>
      <w:bookmarkEnd w:id="3"/>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漏洞扫描服务主要包括：</w:t>
      </w:r>
    </w:p>
    <w:p>
      <w:pPr>
        <w:numPr>
          <w:ilvl w:val="0"/>
          <w:numId w:val="4"/>
        </w:numPr>
        <w:spacing w:after="156" w:afterLines="50"/>
        <w:rPr>
          <w:rFonts w:hint="eastAsia" w:asciiTheme="minorEastAsia" w:hAnsiTheme="minorEastAsia" w:eastAsiaTheme="minorEastAsia"/>
          <w:color w:val="auto"/>
          <w:szCs w:val="21"/>
        </w:rPr>
      </w:pPr>
      <w:r>
        <w:rPr>
          <w:rFonts w:hint="eastAsia" w:asciiTheme="minorEastAsia" w:hAnsiTheme="minorEastAsia" w:eastAsiaTheme="minorEastAsia"/>
          <w:color w:val="auto"/>
        </w:rPr>
        <w:t>弱口令扫描，至少包含以下应用的弱口令：FTP、SNMP、Telnet、SSH、SYBASE、Oracle、MySQL、MSSQL等；</w:t>
      </w:r>
    </w:p>
    <w:p>
      <w:pPr>
        <w:numPr>
          <w:ilvl w:val="0"/>
          <w:numId w:val="4"/>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系统漏洞：Windows、AIX、HP-UX、等操作系统漏洞、系统后门；</w:t>
      </w:r>
    </w:p>
    <w:p>
      <w:pPr>
        <w:numPr>
          <w:ilvl w:val="0"/>
          <w:numId w:val="4"/>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网络设备漏洞：Cisco、华为、H3C、PIX firewall、等网络设备漏洞；</w:t>
      </w:r>
    </w:p>
    <w:p>
      <w:pPr>
        <w:numPr>
          <w:ilvl w:val="0"/>
          <w:numId w:val="4"/>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数据库及应用服务漏洞：MS SQL Server、MySQL、Oracle、Apache、IIS、Tomcat、WebLogic、等漏洞；</w:t>
      </w:r>
    </w:p>
    <w:p>
      <w:pPr>
        <w:numPr>
          <w:ilvl w:val="0"/>
          <w:numId w:val="4"/>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对互联网开放的系统是否开启telnet、ssh、远程桌面、pcanywhere等常用维护端口（23、22、3389、5631、5632等）但是没有严格限制访问原IP；</w:t>
      </w:r>
    </w:p>
    <w:p>
      <w:pPr>
        <w:numPr>
          <w:ilvl w:val="0"/>
          <w:numId w:val="4"/>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Web应用漏洞：Web服务器是否存在测试页面、后台登录是否有限制、Web页面是否存在SQL注入、跨站等漏洞；</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本项目中安全服务供应商使用的漏洞规则库应保持最新状态，每条漏洞具有CVE编码，并提供详细的漏洞描述和加固建议措施。</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安全配置核查服务有：</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根据专用安全配置规范，安全服务供应商将针对以下业务数据网络系统提供安全配置配置核查服务：</w:t>
      </w:r>
    </w:p>
    <w:p>
      <w:pPr>
        <w:numPr>
          <w:ilvl w:val="0"/>
          <w:numId w:val="5"/>
        </w:numPr>
        <w:spacing w:after="156" w:afterLines="50"/>
        <w:rPr>
          <w:rFonts w:hint="eastAsia" w:asciiTheme="minorEastAsia" w:hAnsiTheme="minorEastAsia" w:eastAsiaTheme="minorEastAsia"/>
          <w:color w:val="auto"/>
          <w:szCs w:val="21"/>
        </w:rPr>
      </w:pPr>
      <w:r>
        <w:rPr>
          <w:rFonts w:hint="eastAsia" w:asciiTheme="minorEastAsia" w:hAnsiTheme="minorEastAsia" w:eastAsiaTheme="minorEastAsia"/>
          <w:color w:val="auto"/>
        </w:rPr>
        <w:t>主机设备：Windows、AIX、HP-UX、Linux、Solaris、UNIX</w:t>
      </w:r>
    </w:p>
    <w:p>
      <w:pPr>
        <w:numPr>
          <w:ilvl w:val="0"/>
          <w:numId w:val="5"/>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网络设备：Cisco、华为、H3C、Juniper、PIX firewall、NetScreen Firewall</w:t>
      </w:r>
    </w:p>
    <w:p>
      <w:pPr>
        <w:numPr>
          <w:ilvl w:val="0"/>
          <w:numId w:val="5"/>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业务系统：MS SQL Server、MySQL、Oracle、Apache、IIS、Tomcat、WebLogic、Informix、BIND、Web、DNS</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本项目中安全服务供应商使用的安全配置核查工具应支持的足够数量的检查模板，能够支持自定义安全配置核查的模板。 </w:t>
      </w:r>
    </w:p>
    <w:p>
      <w:pPr>
        <w:outlineLvl w:val="2"/>
        <w:rPr>
          <w:rFonts w:hint="eastAsia" w:asciiTheme="minorEastAsia" w:hAnsiTheme="minorEastAsia" w:eastAsiaTheme="minorEastAsia"/>
          <w:b/>
          <w:color w:val="auto"/>
          <w:szCs w:val="21"/>
        </w:rPr>
      </w:pPr>
      <w:bookmarkStart w:id="4" w:name="_Toc319413069"/>
      <w:bookmarkStart w:id="5" w:name="_Toc342039158"/>
      <w:r>
        <w:rPr>
          <w:rFonts w:hint="eastAsia" w:asciiTheme="minorEastAsia" w:hAnsiTheme="minorEastAsia" w:eastAsiaTheme="minorEastAsia"/>
          <w:b/>
          <w:color w:val="auto"/>
        </w:rPr>
        <w:t>输出成果</w:t>
      </w:r>
      <w:bookmarkEnd w:id="4"/>
      <w:bookmarkEnd w:id="5"/>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每次漏洞扫描和安全配置核查检查完成后，安全服务供应商需向</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提交不同业务系统的《漏扫扫描报告》、《漏扫扫描加固建议》、《安全配置核查报告》、以及建立各个业务系统每台服务器开放端口、服务的安全配置核查清单。</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其中，《漏洞扫描报告》和《安全配置核查报告》应包括整体扫描任务和单个主机扫描任务的情况。安全服务供应商须分别提供漏洞扫描服务和安全配置核查服务的对比报告，能够直观展示多次服务任务中系统资产的风险变化情况。对比报告应支持HTML、WORD、PDF和EXCLE（XML）等格式。</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安全服务供应商须根据报告情况协助</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完成安全加固，并对加固后的系统提供二次评估，验证发现的安全风险已经有效处理。</w:t>
      </w:r>
    </w:p>
    <w:p>
      <w:pPr>
        <w:outlineLvl w:val="2"/>
        <w:rPr>
          <w:rFonts w:hint="eastAsia" w:asciiTheme="minorEastAsia" w:hAnsiTheme="minorEastAsia" w:eastAsiaTheme="minorEastAsia"/>
          <w:b/>
          <w:color w:val="auto"/>
          <w:lang w:val="en-US" w:eastAsia="zh-CN"/>
        </w:rPr>
      </w:pPr>
      <w:r>
        <w:rPr>
          <w:rFonts w:hint="eastAsia" w:asciiTheme="minorEastAsia" w:hAnsiTheme="minorEastAsia" w:eastAsiaTheme="minorEastAsia"/>
          <w:b/>
          <w:color w:val="auto"/>
          <w:lang w:val="en-US" w:eastAsia="zh-CN"/>
        </w:rPr>
        <w:t>相关工具</w:t>
      </w:r>
    </w:p>
    <w:p>
      <w:pPr>
        <w:ind w:firstLine="480"/>
        <w:rPr>
          <w:color w:val="auto"/>
        </w:rPr>
      </w:pPr>
      <w:r>
        <w:rPr>
          <w:rFonts w:hint="eastAsia"/>
          <w:color w:val="auto"/>
          <w:lang w:val="en-US" w:eastAsia="zh-CN"/>
        </w:rPr>
        <w:t>漏洞扫描和配置核查</w:t>
      </w:r>
      <w:r>
        <w:rPr>
          <w:rFonts w:hint="eastAsia"/>
          <w:color w:val="auto"/>
        </w:rPr>
        <w:t>服务过程中需要使用到大量的技术工具，列出部分重要工具包括如下：</w:t>
      </w:r>
    </w:p>
    <w:p>
      <w:pPr>
        <w:pStyle w:val="7"/>
        <w:numPr>
          <w:ilvl w:val="0"/>
          <w:numId w:val="0"/>
        </w:numPr>
        <w:rPr>
          <w:color w:val="auto"/>
        </w:rPr>
      </w:pPr>
      <w:r>
        <w:rPr>
          <w:rFonts w:hint="eastAsia"/>
          <w:color w:val="auto"/>
        </w:rPr>
        <w:t>表2</w:t>
      </w:r>
      <w:r>
        <w:rPr>
          <w:color w:val="auto"/>
        </w:rPr>
        <w:t xml:space="preserve">.3 </w:t>
      </w:r>
      <w:r>
        <w:rPr>
          <w:rFonts w:hint="eastAsia"/>
          <w:color w:val="auto"/>
        </w:rPr>
        <w:t>测试工具：远程安全评估系统</w:t>
      </w:r>
    </w:p>
    <w:tbl>
      <w:tblPr>
        <w:tblStyle w:val="4"/>
        <w:tblW w:w="8522"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679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double" w:color="auto" w:sz="4" w:space="0"/>
              <w:left w:val="double" w:color="auto" w:sz="4" w:space="0"/>
              <w:bottom w:val="single" w:color="auto" w:sz="4" w:space="0"/>
              <w:right w:val="single" w:color="auto" w:sz="4" w:space="0"/>
            </w:tcBorders>
            <w:shd w:val="clear" w:color="auto" w:fill="auto"/>
            <w:vAlign w:val="center"/>
          </w:tcPr>
          <w:p>
            <w:pPr>
              <w:ind w:firstLine="0" w:firstLineChars="0"/>
              <w:rPr>
                <w:color w:val="auto"/>
              </w:rPr>
            </w:pPr>
            <w:r>
              <w:rPr>
                <w:color w:val="auto"/>
              </w:rPr>
              <w:t>工具名称</w:t>
            </w:r>
          </w:p>
        </w:tc>
        <w:tc>
          <w:tcPr>
            <w:tcW w:w="6794" w:type="dxa"/>
            <w:tcBorders>
              <w:top w:val="double" w:color="auto" w:sz="4" w:space="0"/>
              <w:left w:val="single" w:color="auto" w:sz="4" w:space="0"/>
              <w:bottom w:val="single" w:color="auto" w:sz="4" w:space="0"/>
              <w:right w:val="double" w:color="auto" w:sz="4" w:space="0"/>
            </w:tcBorders>
            <w:shd w:val="clear" w:color="auto" w:fill="auto"/>
          </w:tcPr>
          <w:p>
            <w:pPr>
              <w:ind w:firstLine="0" w:firstLineChars="0"/>
              <w:rPr>
                <w:color w:val="auto"/>
              </w:rPr>
            </w:pPr>
            <w:r>
              <w:rPr>
                <w:rFonts w:hint="eastAsia"/>
                <w:color w:val="auto"/>
              </w:rPr>
              <w:t>远程安全评估系统</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double" w:color="auto" w:sz="4" w:space="0"/>
              <w:bottom w:val="single" w:color="auto" w:sz="4" w:space="0"/>
              <w:right w:val="single" w:color="auto" w:sz="4" w:space="0"/>
            </w:tcBorders>
            <w:shd w:val="clear" w:color="auto" w:fill="auto"/>
            <w:vAlign w:val="center"/>
          </w:tcPr>
          <w:p>
            <w:pPr>
              <w:ind w:firstLine="0" w:firstLineChars="0"/>
              <w:rPr>
                <w:color w:val="auto"/>
              </w:rPr>
            </w:pPr>
            <w:r>
              <w:rPr>
                <w:color w:val="auto"/>
              </w:rPr>
              <w:t>工具用途</w:t>
            </w:r>
          </w:p>
        </w:tc>
        <w:tc>
          <w:tcPr>
            <w:tcW w:w="6794" w:type="dxa"/>
            <w:tcBorders>
              <w:top w:val="single" w:color="auto" w:sz="4" w:space="0"/>
              <w:left w:val="single" w:color="auto" w:sz="4" w:space="0"/>
              <w:bottom w:val="single" w:color="auto" w:sz="4" w:space="0"/>
              <w:right w:val="double" w:color="auto" w:sz="4" w:space="0"/>
            </w:tcBorders>
            <w:shd w:val="clear" w:color="auto" w:fill="auto"/>
          </w:tcPr>
          <w:p>
            <w:pPr>
              <w:pStyle w:val="2"/>
              <w:ind w:firstLine="0" w:firstLineChars="0"/>
              <w:rPr>
                <w:rFonts w:cs="Arial"/>
                <w:color w:val="auto"/>
              </w:rPr>
            </w:pPr>
            <w:r>
              <w:rPr>
                <w:rFonts w:hint="eastAsia" w:cs="Arial"/>
                <w:color w:val="auto"/>
              </w:rPr>
              <w:t>安全漏洞扫描工具</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double" w:color="auto" w:sz="4" w:space="0"/>
              <w:bottom w:val="double" w:color="auto" w:sz="4" w:space="0"/>
              <w:right w:val="single" w:color="auto" w:sz="4" w:space="0"/>
            </w:tcBorders>
            <w:shd w:val="clear" w:color="auto" w:fill="auto"/>
            <w:vAlign w:val="center"/>
          </w:tcPr>
          <w:p>
            <w:pPr>
              <w:ind w:firstLine="0" w:firstLineChars="0"/>
              <w:rPr>
                <w:rFonts w:hint="default" w:eastAsia="宋体"/>
                <w:color w:val="auto"/>
                <w:lang w:val="en-US" w:eastAsia="zh-CN"/>
              </w:rPr>
            </w:pPr>
            <w:r>
              <w:rPr>
                <w:rFonts w:hint="eastAsia"/>
                <w:color w:val="auto"/>
                <w:lang w:val="en-US" w:eastAsia="zh-CN"/>
              </w:rPr>
              <w:t>性能参数</w:t>
            </w:r>
          </w:p>
        </w:tc>
        <w:tc>
          <w:tcPr>
            <w:tcW w:w="6794" w:type="dxa"/>
            <w:tcBorders>
              <w:top w:val="single" w:color="auto" w:sz="4" w:space="0"/>
              <w:left w:val="single" w:color="auto" w:sz="4" w:space="0"/>
              <w:bottom w:val="double" w:color="auto" w:sz="4" w:space="0"/>
              <w:right w:val="double" w:color="auto" w:sz="4" w:space="0"/>
            </w:tcBorders>
            <w:shd w:val="clear" w:color="auto" w:fill="auto"/>
          </w:tcPr>
          <w:p>
            <w:pPr>
              <w:ind w:firstLine="0" w:firstLineChars="0"/>
              <w:rPr>
                <w:rFonts w:hint="eastAsia"/>
                <w:color w:val="auto"/>
              </w:rPr>
            </w:pPr>
            <w:r>
              <w:rPr>
                <w:rFonts w:hint="eastAsia"/>
                <w:color w:val="auto"/>
              </w:rPr>
              <w:t>1、支持检测的漏洞数大于220000条，兼容CVE、CNCVE、CNNVD、CNVD、Bugtraq等主流标准，提供CVE Compatible证书和产品系统截图；</w:t>
            </w:r>
          </w:p>
          <w:p>
            <w:pPr>
              <w:ind w:firstLine="0" w:firstLineChars="0"/>
              <w:rPr>
                <w:rFonts w:hint="eastAsia"/>
                <w:color w:val="auto"/>
              </w:rPr>
            </w:pPr>
            <w:r>
              <w:rPr>
                <w:rFonts w:hint="eastAsia"/>
                <w:color w:val="auto"/>
              </w:rPr>
              <w:t>2、提供高级漏洞模板过滤器，支持将符合筛选条件的漏洞自动加入到自定义漏洞模板中，及后续插件升级包中的漏洞也可以自动加入到模板中；</w:t>
            </w:r>
          </w:p>
          <w:p>
            <w:pPr>
              <w:ind w:firstLine="0" w:firstLineChars="0"/>
              <w:rPr>
                <w:rFonts w:hint="eastAsia"/>
                <w:color w:val="auto"/>
              </w:rPr>
            </w:pPr>
            <w:r>
              <w:rPr>
                <w:rFonts w:hint="eastAsia"/>
                <w:color w:val="auto"/>
              </w:rPr>
              <w:t>3、支持扫描主流云主机机管理系统的安全漏洞，如：VMWareESX/ESXi、KVM、Xen，要求能够扫描大于5000条相关漏洞，提供功能截图和支持的漏洞列表；</w:t>
            </w:r>
          </w:p>
          <w:p>
            <w:pPr>
              <w:ind w:firstLine="0" w:firstLineChars="0"/>
              <w:rPr>
                <w:rFonts w:hint="eastAsia"/>
                <w:color w:val="auto"/>
              </w:rPr>
            </w:pPr>
            <w:r>
              <w:rPr>
                <w:rFonts w:hint="eastAsia"/>
                <w:color w:val="auto"/>
              </w:rPr>
              <w:t>4、支持对C/C++/Python/Java/Php/go等语言的代码解析，语言的词法、语法分析。内置缺陷模板和缺陷规则，并支持自定义，提供功能截图；</w:t>
            </w:r>
          </w:p>
          <w:p>
            <w:pPr>
              <w:ind w:firstLine="0" w:firstLineChars="0"/>
              <w:rPr>
                <w:rFonts w:hint="eastAsia"/>
                <w:color w:val="auto"/>
              </w:rPr>
            </w:pPr>
            <w:r>
              <w:rPr>
                <w:rFonts w:hint="eastAsia"/>
                <w:color w:val="auto"/>
              </w:rPr>
              <w:t>5、支持专门针对已有攻击利用代码的漏洞检测，检测用户资产是否存在可利用的漏洞，提供功能截图；</w:t>
            </w:r>
          </w:p>
          <w:p>
            <w:pPr>
              <w:ind w:firstLine="0" w:firstLineChars="0"/>
              <w:rPr>
                <w:rFonts w:hint="eastAsia"/>
                <w:color w:val="auto"/>
              </w:rPr>
            </w:pPr>
            <w:r>
              <w:rPr>
                <w:rFonts w:hint="eastAsia"/>
                <w:color w:val="auto"/>
              </w:rPr>
              <w:t>6、支持将按IP范围、起止时间、任务名称、任务状态、漏洞模板、用户等筛选扫描任务,并对筛选结果进行汇总,和生成在线及离线报表，提供功能截图；</w:t>
            </w:r>
          </w:p>
          <w:p>
            <w:pPr>
              <w:ind w:firstLine="0" w:firstLineChars="0"/>
              <w:rPr>
                <w:rFonts w:hint="eastAsia"/>
                <w:color w:val="auto"/>
              </w:rPr>
            </w:pPr>
            <w:r>
              <w:rPr>
                <w:rFonts w:hint="eastAsia"/>
                <w:color w:val="auto"/>
              </w:rPr>
              <w:t>7、支持风险告警和风险闭环处理，可在集中告警平台灵活配置告警内容、告警方式、告警资产范围等，支持邮件和页面告警，支持单个或批量修改风险状态，提供功能截图；</w:t>
            </w:r>
          </w:p>
          <w:p>
            <w:pPr>
              <w:ind w:firstLine="0" w:firstLineChars="0"/>
              <w:rPr>
                <w:rFonts w:hint="eastAsia"/>
                <w:color w:val="auto"/>
              </w:rPr>
            </w:pPr>
            <w:r>
              <w:rPr>
                <w:rFonts w:hint="eastAsia"/>
                <w:color w:val="auto"/>
              </w:rPr>
              <w:t>8、支持扫描国产操作系统、应用及软件的安全漏洞，如红旗、麒麟、起点操作系统，提供详细漏洞列表；</w:t>
            </w:r>
          </w:p>
          <w:p>
            <w:pPr>
              <w:ind w:firstLine="0" w:firstLineChars="0"/>
              <w:rPr>
                <w:rFonts w:hint="eastAsia"/>
                <w:color w:val="auto"/>
              </w:rPr>
            </w:pPr>
            <w:r>
              <w:rPr>
                <w:rFonts w:hint="eastAsia"/>
                <w:color w:val="auto"/>
              </w:rPr>
              <w:t>9、支持专门针对DNS服务的安全漏洞检测，包括DNS投毒等漏洞检测能力；支持“幽灵木马”检测；提供功能截图；</w:t>
            </w:r>
          </w:p>
          <w:p>
            <w:pPr>
              <w:ind w:firstLine="0" w:firstLineChars="0"/>
              <w:rPr>
                <w:rFonts w:hint="eastAsia"/>
                <w:color w:val="auto"/>
              </w:rPr>
            </w:pPr>
            <w:r>
              <w:rPr>
                <w:rFonts w:hint="eastAsia"/>
                <w:color w:val="auto"/>
              </w:rPr>
              <w:t>10、产品要求为国内开发，具备自主知识产权，并经过十五年以上应用检验，厂商应承诺产品的高度稳定性和可靠性；</w:t>
            </w:r>
          </w:p>
          <w:p>
            <w:pPr>
              <w:ind w:firstLine="0" w:firstLineChars="0"/>
              <w:rPr>
                <w:rFonts w:hint="eastAsia"/>
                <w:color w:val="auto"/>
              </w:rPr>
            </w:pPr>
            <w:r>
              <w:rPr>
                <w:rFonts w:hint="eastAsia"/>
                <w:color w:val="auto"/>
              </w:rPr>
              <w:t>11、产品厂商应具备独立的安全漏洞研究能力，独立发现并被CVE组织（世界漏洞编号官方组织）收录的安全漏洞超过30个，请提供CVE官方网站通过搜索单位名称所获得的CVE数量截图证明，同时提供这些安全漏洞的CVE编号、漏洞详细介绍及截图、网站链接；</w:t>
            </w:r>
          </w:p>
          <w:p>
            <w:pPr>
              <w:ind w:firstLine="0" w:firstLineChars="0"/>
              <w:rPr>
                <w:color w:val="auto"/>
              </w:rPr>
            </w:pPr>
          </w:p>
        </w:tc>
      </w:tr>
    </w:tbl>
    <w:p>
      <w:pPr>
        <w:pStyle w:val="7"/>
        <w:numPr>
          <w:ilvl w:val="0"/>
          <w:numId w:val="0"/>
        </w:numPr>
        <w:ind w:left="2552"/>
        <w:jc w:val="both"/>
        <w:rPr>
          <w:color w:val="auto"/>
        </w:rPr>
      </w:pPr>
      <w:r>
        <w:rPr>
          <w:rFonts w:hint="eastAsia"/>
          <w:color w:val="auto"/>
        </w:rPr>
        <w:t>表2</w:t>
      </w:r>
      <w:r>
        <w:rPr>
          <w:color w:val="auto"/>
        </w:rPr>
        <w:t>.4</w:t>
      </w:r>
      <w:r>
        <w:rPr>
          <w:rFonts w:hint="eastAsia"/>
          <w:color w:val="auto"/>
        </w:rPr>
        <w:t>测试工具：安全配置核查系统</w:t>
      </w:r>
    </w:p>
    <w:tbl>
      <w:tblPr>
        <w:tblStyle w:val="4"/>
        <w:tblW w:w="8522"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679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double" w:color="auto" w:sz="4" w:space="0"/>
              <w:left w:val="double" w:color="auto" w:sz="4" w:space="0"/>
              <w:bottom w:val="single" w:color="auto" w:sz="4" w:space="0"/>
              <w:right w:val="single" w:color="auto" w:sz="4" w:space="0"/>
            </w:tcBorders>
            <w:shd w:val="clear" w:color="auto" w:fill="auto"/>
            <w:vAlign w:val="center"/>
          </w:tcPr>
          <w:p>
            <w:pPr>
              <w:ind w:firstLine="0" w:firstLineChars="0"/>
              <w:rPr>
                <w:color w:val="auto"/>
              </w:rPr>
            </w:pPr>
            <w:r>
              <w:rPr>
                <w:color w:val="auto"/>
              </w:rPr>
              <w:t>工具名称</w:t>
            </w:r>
          </w:p>
        </w:tc>
        <w:tc>
          <w:tcPr>
            <w:tcW w:w="6794" w:type="dxa"/>
            <w:tcBorders>
              <w:top w:val="double" w:color="auto" w:sz="4" w:space="0"/>
              <w:left w:val="single" w:color="auto" w:sz="4" w:space="0"/>
              <w:bottom w:val="single" w:color="auto" w:sz="4" w:space="0"/>
              <w:right w:val="double" w:color="auto" w:sz="4" w:space="0"/>
            </w:tcBorders>
            <w:shd w:val="clear" w:color="auto" w:fill="auto"/>
          </w:tcPr>
          <w:p>
            <w:pPr>
              <w:ind w:firstLine="0" w:firstLineChars="0"/>
              <w:rPr>
                <w:color w:val="auto"/>
              </w:rPr>
            </w:pPr>
            <w:r>
              <w:rPr>
                <w:rFonts w:hint="eastAsia"/>
                <w:color w:val="auto"/>
              </w:rPr>
              <w:t>安全配置核查系统</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double" w:color="auto" w:sz="4" w:space="0"/>
              <w:bottom w:val="single" w:color="auto" w:sz="4" w:space="0"/>
              <w:right w:val="single" w:color="auto" w:sz="4" w:space="0"/>
            </w:tcBorders>
            <w:shd w:val="clear" w:color="auto" w:fill="auto"/>
            <w:vAlign w:val="center"/>
          </w:tcPr>
          <w:p>
            <w:pPr>
              <w:ind w:firstLine="0" w:firstLineChars="0"/>
              <w:rPr>
                <w:color w:val="auto"/>
              </w:rPr>
            </w:pPr>
            <w:r>
              <w:rPr>
                <w:color w:val="auto"/>
              </w:rPr>
              <w:t>工具用途</w:t>
            </w:r>
          </w:p>
        </w:tc>
        <w:tc>
          <w:tcPr>
            <w:tcW w:w="6794" w:type="dxa"/>
            <w:tcBorders>
              <w:top w:val="single" w:color="auto" w:sz="4" w:space="0"/>
              <w:left w:val="single" w:color="auto" w:sz="4" w:space="0"/>
              <w:bottom w:val="single" w:color="auto" w:sz="4" w:space="0"/>
              <w:right w:val="double" w:color="auto" w:sz="4" w:space="0"/>
            </w:tcBorders>
            <w:shd w:val="clear" w:color="auto" w:fill="auto"/>
          </w:tcPr>
          <w:p>
            <w:pPr>
              <w:pStyle w:val="2"/>
              <w:ind w:firstLine="0" w:firstLineChars="0"/>
              <w:rPr>
                <w:rFonts w:cs="Arial"/>
                <w:color w:val="auto"/>
              </w:rPr>
            </w:pPr>
            <w:r>
              <w:rPr>
                <w:rFonts w:hint="eastAsia" w:cs="Arial"/>
                <w:color w:val="auto"/>
              </w:rPr>
              <w:t>安全配置检查工具</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double" w:color="auto" w:sz="4" w:space="0"/>
              <w:bottom w:val="double" w:color="auto" w:sz="4" w:space="0"/>
              <w:right w:val="single" w:color="auto" w:sz="4" w:space="0"/>
            </w:tcBorders>
            <w:shd w:val="clear" w:color="auto" w:fill="auto"/>
            <w:vAlign w:val="center"/>
          </w:tcPr>
          <w:p>
            <w:pPr>
              <w:ind w:firstLine="0" w:firstLineChars="0"/>
              <w:rPr>
                <w:rFonts w:hint="default" w:eastAsia="宋体"/>
                <w:color w:val="auto"/>
                <w:lang w:val="en-US" w:eastAsia="zh-CN"/>
              </w:rPr>
            </w:pPr>
            <w:r>
              <w:rPr>
                <w:rFonts w:hint="eastAsia"/>
                <w:color w:val="auto"/>
                <w:lang w:val="en-US" w:eastAsia="zh-CN"/>
              </w:rPr>
              <w:t>性能参数</w:t>
            </w:r>
          </w:p>
        </w:tc>
        <w:tc>
          <w:tcPr>
            <w:tcW w:w="6794" w:type="dxa"/>
            <w:tcBorders>
              <w:top w:val="single" w:color="auto" w:sz="4" w:space="0"/>
              <w:left w:val="single" w:color="auto" w:sz="4" w:space="0"/>
              <w:bottom w:val="double" w:color="auto" w:sz="4" w:space="0"/>
              <w:right w:val="double" w:color="auto" w:sz="4" w:space="0"/>
            </w:tcBorders>
            <w:shd w:val="clear" w:color="auto" w:fill="auto"/>
          </w:tcPr>
          <w:p>
            <w:pPr>
              <w:ind w:firstLine="0" w:firstLineChars="0"/>
              <w:rPr>
                <w:rFonts w:hint="default"/>
                <w:color w:val="auto"/>
                <w:lang w:val="en-US"/>
              </w:rPr>
            </w:pPr>
            <w:r>
              <w:rPr>
                <w:rFonts w:hint="default"/>
                <w:color w:val="auto"/>
                <w:lang w:val="en-US"/>
              </w:rPr>
              <w:t>1、支持虚拟化设备配置彻查，包括Hyper-V、VMWare ESXi、VMWare vCenter、XEN、XenServer配置核查；</w:t>
            </w:r>
          </w:p>
          <w:p>
            <w:pPr>
              <w:ind w:firstLine="0" w:firstLineChars="0"/>
              <w:rPr>
                <w:rFonts w:hint="default"/>
                <w:color w:val="auto"/>
                <w:lang w:val="en-US"/>
              </w:rPr>
            </w:pPr>
            <w:r>
              <w:rPr>
                <w:rFonts w:hint="default"/>
                <w:color w:val="auto"/>
                <w:lang w:val="en-US"/>
              </w:rPr>
              <w:t>2、系统默认支持工信部配置核查规范，依据工信部发布的《电信网和互联网安全防护基线配置要求及检测要求》（报批稿）进行配置核查；</w:t>
            </w:r>
          </w:p>
          <w:p>
            <w:pPr>
              <w:ind w:firstLine="0" w:firstLineChars="0"/>
              <w:rPr>
                <w:rFonts w:hint="default"/>
                <w:color w:val="auto"/>
                <w:lang w:val="en-US"/>
              </w:rPr>
            </w:pPr>
            <w:r>
              <w:rPr>
                <w:rFonts w:hint="default"/>
                <w:color w:val="auto"/>
                <w:lang w:val="en-US"/>
              </w:rPr>
              <w:t>3、支持本地检查，可以利用ActiveX控件对windows主机进行本地检查，仅需要IE访问配置核查设备即可SS进行本机配置核查；</w:t>
            </w:r>
          </w:p>
          <w:p>
            <w:pPr>
              <w:ind w:firstLine="0" w:firstLineChars="0"/>
              <w:rPr>
                <w:rFonts w:hint="default"/>
                <w:color w:val="auto"/>
                <w:lang w:val="en-US"/>
              </w:rPr>
            </w:pPr>
            <w:r>
              <w:rPr>
                <w:rFonts w:hint="default"/>
                <w:color w:val="auto"/>
                <w:lang w:val="en-US"/>
              </w:rPr>
              <w:t>4、支持时间段设置，只在指定时间段内执行任务，未完成任务在下一时间段自动继续执行；</w:t>
            </w:r>
          </w:p>
          <w:p>
            <w:pPr>
              <w:ind w:firstLine="0" w:firstLineChars="0"/>
              <w:rPr>
                <w:rFonts w:hint="default"/>
                <w:color w:val="auto"/>
                <w:lang w:val="en-US"/>
              </w:rPr>
            </w:pPr>
            <w:r>
              <w:rPr>
                <w:rFonts w:hint="default"/>
                <w:color w:val="auto"/>
                <w:lang w:val="en-US"/>
              </w:rPr>
              <w:t>5、可按IP范围、起止时间、任务名称、任务状态、配置模板、用户账号筛选任务并汇总，并在线查看风险详情和输出离线汇总报表；</w:t>
            </w:r>
          </w:p>
          <w:p>
            <w:pPr>
              <w:ind w:firstLine="0" w:firstLineChars="0"/>
              <w:rPr>
                <w:rFonts w:hint="default"/>
                <w:color w:val="auto"/>
                <w:lang w:val="en-US"/>
              </w:rPr>
            </w:pPr>
            <w:r>
              <w:rPr>
                <w:rFonts w:hint="default"/>
                <w:color w:val="auto"/>
                <w:lang w:val="en-US"/>
              </w:rPr>
              <w:t>6、支持风险告警和风险闭环处理，可在集中告警平台灵活配置告警内容、告警方式、告警资产范围等，支持邮件和页面告警，支持单个或批量修改风险状态；</w:t>
            </w:r>
          </w:p>
          <w:p>
            <w:pPr>
              <w:ind w:firstLine="0" w:firstLineChars="0"/>
              <w:rPr>
                <w:rFonts w:hint="default"/>
                <w:color w:val="auto"/>
                <w:lang w:val="en-US"/>
              </w:rPr>
            </w:pPr>
            <w:r>
              <w:rPr>
                <w:rFonts w:hint="default"/>
                <w:color w:val="auto"/>
                <w:lang w:val="en-US"/>
              </w:rPr>
              <w:t>7、支持报表自定义，可定制报表标题、封面logo、报表页眉和页脚、报表各章节显示内容；</w:t>
            </w:r>
          </w:p>
          <w:p>
            <w:pPr>
              <w:ind w:firstLine="0" w:firstLineChars="0"/>
              <w:rPr>
                <w:rFonts w:hint="default"/>
                <w:color w:val="auto"/>
                <w:lang w:val="en-US"/>
              </w:rPr>
            </w:pPr>
          </w:p>
          <w:p>
            <w:pPr>
              <w:ind w:firstLine="0" w:firstLineChars="0"/>
              <w:rPr>
                <w:rFonts w:hint="default"/>
                <w:color w:val="auto"/>
                <w:lang w:val="en-US"/>
              </w:rPr>
            </w:pPr>
          </w:p>
        </w:tc>
      </w:tr>
    </w:tbl>
    <w:p>
      <w:pPr>
        <w:spacing w:after="120"/>
        <w:outlineLvl w:val="2"/>
        <w:rPr>
          <w:rFonts w:hint="eastAsia" w:asciiTheme="minorEastAsia" w:hAnsiTheme="minorEastAsia" w:eastAsiaTheme="minorEastAsia"/>
          <w:color w:val="auto"/>
          <w:szCs w:val="21"/>
        </w:rPr>
      </w:pPr>
      <w:bookmarkStart w:id="6" w:name="_Toc342039159"/>
      <w:r>
        <w:rPr>
          <w:rFonts w:hint="eastAsia" w:asciiTheme="minorEastAsia" w:hAnsiTheme="minorEastAsia" w:eastAsiaTheme="minorEastAsia"/>
          <w:color w:val="auto"/>
        </w:rPr>
        <w:tab/>
      </w:r>
      <w:r>
        <w:rPr>
          <w:rFonts w:hint="eastAsia" w:asciiTheme="minorEastAsia" w:hAnsiTheme="minorEastAsia" w:eastAsiaTheme="minorEastAsia"/>
          <w:color w:val="auto"/>
        </w:rPr>
        <w:t>（2）安全巡检</w:t>
      </w:r>
      <w:bookmarkEnd w:id="6"/>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安全巡检服务的内容包括安全设备巡检和安全日志分析两部分。</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安全服务供应商需提供自合同签订后</w:t>
      </w:r>
      <w:r>
        <w:rPr>
          <w:rFonts w:hint="eastAsia" w:asciiTheme="minorEastAsia" w:hAnsiTheme="minorEastAsia" w:eastAsiaTheme="minorEastAsia"/>
          <w:color w:val="auto"/>
          <w:szCs w:val="21"/>
          <w:lang w:eastAsia="zh-CN"/>
        </w:rPr>
        <w:t>1年</w:t>
      </w:r>
      <w:r>
        <w:rPr>
          <w:rFonts w:hint="eastAsia" w:asciiTheme="minorEastAsia" w:hAnsiTheme="minorEastAsia" w:eastAsiaTheme="minorEastAsia"/>
          <w:color w:val="auto"/>
          <w:szCs w:val="21"/>
        </w:rPr>
        <w:t>期的安全巡检服务，服务频度每</w:t>
      </w:r>
      <w:r>
        <w:rPr>
          <w:rFonts w:hint="eastAsia" w:asciiTheme="minorEastAsia" w:hAnsiTheme="minorEastAsia" w:eastAsiaTheme="minorEastAsia"/>
          <w:color w:val="auto"/>
          <w:szCs w:val="21"/>
          <w:lang w:val="en-US" w:eastAsia="zh-CN"/>
        </w:rPr>
        <w:t>半年</w:t>
      </w:r>
      <w:r>
        <w:rPr>
          <w:rFonts w:hint="eastAsia" w:asciiTheme="minorEastAsia" w:hAnsiTheme="minorEastAsia" w:eastAsiaTheme="minorEastAsia"/>
          <w:color w:val="auto"/>
          <w:szCs w:val="21"/>
        </w:rPr>
        <w:t>一次</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全年不低于2次</w:t>
      </w:r>
      <w:r>
        <w:rPr>
          <w:rFonts w:hint="eastAsia" w:asciiTheme="minorEastAsia" w:hAnsiTheme="minorEastAsia" w:eastAsiaTheme="minorEastAsia"/>
          <w:color w:val="auto"/>
          <w:szCs w:val="21"/>
        </w:rPr>
        <w:t>。</w:t>
      </w:r>
    </w:p>
    <w:p>
      <w:pPr>
        <w:outlineLvl w:val="2"/>
        <w:rPr>
          <w:rFonts w:hint="eastAsia" w:asciiTheme="minorEastAsia" w:hAnsiTheme="minorEastAsia" w:eastAsiaTheme="minorEastAsia"/>
          <w:b/>
          <w:color w:val="auto"/>
          <w:szCs w:val="21"/>
        </w:rPr>
      </w:pPr>
      <w:bookmarkStart w:id="7" w:name="_Toc342039160"/>
      <w:r>
        <w:rPr>
          <w:rFonts w:hint="eastAsia" w:asciiTheme="minorEastAsia" w:hAnsiTheme="minorEastAsia" w:eastAsiaTheme="minorEastAsia"/>
          <w:b/>
          <w:color w:val="auto"/>
        </w:rPr>
        <w:t>安全设备巡检</w:t>
      </w:r>
      <w:bookmarkEnd w:id="7"/>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检查机房环境及服务器、存储等外设的使用情况，检查主机操作系统及应用软件运行状况，检查安全产品及配套软件运行状况，检查日志服务器运行情况，更新事件库、漏洞库、病毒库等，并对各项配置加以优化。</w:t>
      </w:r>
    </w:p>
    <w:p>
      <w:pPr>
        <w:outlineLvl w:val="2"/>
        <w:rPr>
          <w:rFonts w:hint="eastAsia" w:asciiTheme="minorEastAsia" w:hAnsiTheme="minorEastAsia" w:eastAsiaTheme="minorEastAsia"/>
          <w:b/>
          <w:color w:val="auto"/>
          <w:szCs w:val="21"/>
        </w:rPr>
      </w:pPr>
      <w:bookmarkStart w:id="8" w:name="_Toc342039161"/>
      <w:r>
        <w:rPr>
          <w:rFonts w:hint="eastAsia" w:asciiTheme="minorEastAsia" w:hAnsiTheme="minorEastAsia" w:eastAsiaTheme="minorEastAsia"/>
          <w:b/>
          <w:color w:val="auto"/>
        </w:rPr>
        <w:t>安全日志采集、分析服务</w:t>
      </w:r>
      <w:bookmarkEnd w:id="8"/>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安全服务供应商向</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提供</w:t>
      </w:r>
      <w:r>
        <w:rPr>
          <w:rFonts w:hint="eastAsia" w:asciiTheme="minorEastAsia" w:hAnsiTheme="minorEastAsia" w:eastAsiaTheme="minorEastAsia"/>
          <w:color w:val="auto"/>
          <w:szCs w:val="21"/>
          <w:lang w:eastAsia="zh-CN"/>
        </w:rPr>
        <w:t>1年</w:t>
      </w:r>
      <w:r>
        <w:rPr>
          <w:rFonts w:hint="eastAsia" w:asciiTheme="minorEastAsia" w:hAnsiTheme="minorEastAsia" w:eastAsiaTheme="minorEastAsia"/>
          <w:color w:val="auto"/>
          <w:szCs w:val="21"/>
        </w:rPr>
        <w:t>期每</w:t>
      </w:r>
      <w:r>
        <w:rPr>
          <w:rFonts w:hint="eastAsia" w:asciiTheme="minorEastAsia" w:hAnsiTheme="minorEastAsia" w:eastAsiaTheme="minorEastAsia"/>
          <w:color w:val="auto"/>
          <w:szCs w:val="21"/>
          <w:lang w:val="en-US" w:eastAsia="zh-CN"/>
        </w:rPr>
        <w:t>半年1</w:t>
      </w:r>
      <w:r>
        <w:rPr>
          <w:rFonts w:hint="eastAsia" w:asciiTheme="minorEastAsia" w:hAnsiTheme="minorEastAsia" w:eastAsiaTheme="minorEastAsia"/>
          <w:color w:val="auto"/>
          <w:szCs w:val="21"/>
        </w:rPr>
        <w:t>次</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lang w:val="en-US" w:eastAsia="zh-CN"/>
        </w:rPr>
        <w:t>全年不低于2次</w:t>
      </w:r>
      <w:r>
        <w:rPr>
          <w:rFonts w:hint="eastAsia" w:asciiTheme="minorEastAsia" w:hAnsiTheme="minorEastAsia" w:eastAsiaTheme="minorEastAsia"/>
          <w:color w:val="auto"/>
          <w:szCs w:val="21"/>
        </w:rPr>
        <w:t>安全日志分析服务。主要针对业务支撑系统，服务内容包括：</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梳理业务支撑系统现有安全设备日志平台可用性</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搜集现有安全设备日志</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分析日志，及时发现安全威胁和业务异常</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具体要求：收集现有安全设备如IPS、WAF、审计等的日志信息。安全服务供应商对收集到的日志进行人工分析，提交《安全告警分析报告》及时发现安全威胁和业务异常，并向</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相关人员汇报。</w:t>
      </w:r>
      <w:bookmarkStart w:id="9" w:name="_Toc342039162"/>
    </w:p>
    <w:p>
      <w:pPr>
        <w:outlineLvl w:val="2"/>
        <w:rPr>
          <w:rFonts w:hint="eastAsia" w:asciiTheme="minorEastAsia" w:hAnsiTheme="minorEastAsia" w:eastAsiaTheme="minorEastAsia"/>
          <w:color w:val="auto"/>
          <w:szCs w:val="21"/>
        </w:rPr>
      </w:pPr>
      <w:r>
        <w:rPr>
          <w:rFonts w:hint="eastAsia" w:asciiTheme="minorEastAsia" w:hAnsiTheme="minorEastAsia" w:eastAsiaTheme="minorEastAsia"/>
          <w:b/>
          <w:color w:val="auto"/>
          <w:lang w:val="en-US" w:eastAsia="zh-CN"/>
        </w:rPr>
        <w:t>相关工具</w:t>
      </w:r>
    </w:p>
    <w:p>
      <w:pPr>
        <w:pStyle w:val="7"/>
        <w:numPr>
          <w:ilvl w:val="0"/>
          <w:numId w:val="0"/>
        </w:numPr>
        <w:ind w:left="2552"/>
        <w:jc w:val="both"/>
        <w:rPr>
          <w:color w:val="auto"/>
        </w:rPr>
      </w:pPr>
      <w:r>
        <w:rPr>
          <w:rFonts w:hint="eastAsia"/>
          <w:color w:val="auto"/>
        </w:rPr>
        <w:t>表2</w:t>
      </w:r>
      <w:r>
        <w:rPr>
          <w:color w:val="auto"/>
        </w:rPr>
        <w:t>.</w:t>
      </w:r>
      <w:r>
        <w:rPr>
          <w:rFonts w:hint="eastAsia"/>
          <w:color w:val="auto"/>
          <w:lang w:val="en-US" w:eastAsia="zh-CN"/>
        </w:rPr>
        <w:t>5</w:t>
      </w:r>
      <w:r>
        <w:rPr>
          <w:rFonts w:hint="eastAsia"/>
          <w:color w:val="auto"/>
        </w:rPr>
        <w:t>测试工具：日志审计系统</w:t>
      </w:r>
    </w:p>
    <w:tbl>
      <w:tblPr>
        <w:tblStyle w:val="4"/>
        <w:tblW w:w="8522"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679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double" w:color="auto" w:sz="4" w:space="0"/>
              <w:left w:val="double" w:color="auto" w:sz="4" w:space="0"/>
              <w:bottom w:val="single" w:color="auto" w:sz="4" w:space="0"/>
              <w:right w:val="single" w:color="auto" w:sz="4" w:space="0"/>
            </w:tcBorders>
            <w:shd w:val="clear" w:color="auto" w:fill="auto"/>
            <w:vAlign w:val="center"/>
          </w:tcPr>
          <w:p>
            <w:pPr>
              <w:ind w:firstLine="0" w:firstLineChars="0"/>
              <w:rPr>
                <w:color w:val="auto"/>
              </w:rPr>
            </w:pPr>
            <w:r>
              <w:rPr>
                <w:color w:val="auto"/>
              </w:rPr>
              <w:t>工具名称</w:t>
            </w:r>
          </w:p>
        </w:tc>
        <w:tc>
          <w:tcPr>
            <w:tcW w:w="6794" w:type="dxa"/>
            <w:tcBorders>
              <w:top w:val="double" w:color="auto" w:sz="4" w:space="0"/>
              <w:left w:val="single" w:color="auto" w:sz="4" w:space="0"/>
              <w:bottom w:val="single" w:color="auto" w:sz="4" w:space="0"/>
              <w:right w:val="double" w:color="auto" w:sz="4" w:space="0"/>
            </w:tcBorders>
            <w:shd w:val="clear" w:color="auto" w:fill="auto"/>
          </w:tcPr>
          <w:p>
            <w:pPr>
              <w:ind w:firstLine="0" w:firstLineChars="0"/>
              <w:rPr>
                <w:color w:val="auto"/>
              </w:rPr>
            </w:pPr>
            <w:r>
              <w:rPr>
                <w:rFonts w:hint="eastAsia"/>
                <w:color w:val="auto"/>
              </w:rPr>
              <w:t>日志审计系统</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double" w:color="auto" w:sz="4" w:space="0"/>
              <w:bottom w:val="single" w:color="auto" w:sz="4" w:space="0"/>
              <w:right w:val="single" w:color="auto" w:sz="4" w:space="0"/>
            </w:tcBorders>
            <w:shd w:val="clear" w:color="auto" w:fill="auto"/>
            <w:vAlign w:val="center"/>
          </w:tcPr>
          <w:p>
            <w:pPr>
              <w:ind w:firstLine="0" w:firstLineChars="0"/>
              <w:rPr>
                <w:color w:val="auto"/>
              </w:rPr>
            </w:pPr>
            <w:r>
              <w:rPr>
                <w:color w:val="auto"/>
              </w:rPr>
              <w:t>工具用途</w:t>
            </w:r>
          </w:p>
        </w:tc>
        <w:tc>
          <w:tcPr>
            <w:tcW w:w="6794" w:type="dxa"/>
            <w:tcBorders>
              <w:top w:val="single" w:color="auto" w:sz="4" w:space="0"/>
              <w:left w:val="single" w:color="auto" w:sz="4" w:space="0"/>
              <w:bottom w:val="single" w:color="auto" w:sz="4" w:space="0"/>
              <w:right w:val="double" w:color="auto" w:sz="4" w:space="0"/>
            </w:tcBorders>
            <w:shd w:val="clear" w:color="auto" w:fill="auto"/>
          </w:tcPr>
          <w:p>
            <w:pPr>
              <w:pStyle w:val="2"/>
              <w:ind w:firstLine="0" w:firstLineChars="0"/>
              <w:rPr>
                <w:rFonts w:cs="Arial"/>
                <w:color w:val="auto"/>
              </w:rPr>
            </w:pPr>
            <w:r>
              <w:rPr>
                <w:rFonts w:hint="eastAsia" w:cs="Arial"/>
                <w:color w:val="auto"/>
              </w:rPr>
              <w:t>日志</w:t>
            </w:r>
            <w:r>
              <w:rPr>
                <w:rFonts w:hint="eastAsia" w:cs="Arial"/>
                <w:color w:val="auto"/>
                <w:lang w:val="en-US" w:eastAsia="zh-CN"/>
              </w:rPr>
              <w:t>采集、分析</w:t>
            </w:r>
            <w:r>
              <w:rPr>
                <w:rFonts w:hint="eastAsia" w:cs="Arial"/>
                <w:color w:val="auto"/>
              </w:rPr>
              <w:t>工具</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double" w:color="auto" w:sz="4" w:space="0"/>
              <w:bottom w:val="double" w:color="auto" w:sz="4" w:space="0"/>
              <w:right w:val="single" w:color="auto" w:sz="4" w:space="0"/>
            </w:tcBorders>
            <w:shd w:val="clear" w:color="auto" w:fill="auto"/>
            <w:vAlign w:val="center"/>
          </w:tcPr>
          <w:p>
            <w:pPr>
              <w:ind w:firstLine="0" w:firstLineChars="0"/>
              <w:rPr>
                <w:rFonts w:hint="default" w:eastAsia="宋体"/>
                <w:color w:val="auto"/>
                <w:lang w:val="en-US" w:eastAsia="zh-CN"/>
              </w:rPr>
            </w:pPr>
            <w:r>
              <w:rPr>
                <w:rFonts w:hint="eastAsia"/>
                <w:color w:val="auto"/>
                <w:lang w:val="en-US" w:eastAsia="zh-CN"/>
              </w:rPr>
              <w:t>性能参数</w:t>
            </w:r>
          </w:p>
        </w:tc>
        <w:tc>
          <w:tcPr>
            <w:tcW w:w="6794" w:type="dxa"/>
            <w:tcBorders>
              <w:top w:val="single" w:color="auto" w:sz="4" w:space="0"/>
              <w:left w:val="single" w:color="auto" w:sz="4" w:space="0"/>
              <w:bottom w:val="double" w:color="auto" w:sz="4" w:space="0"/>
              <w:right w:val="double" w:color="auto" w:sz="4" w:space="0"/>
            </w:tcBorders>
            <w:shd w:val="clear" w:color="auto" w:fill="auto"/>
          </w:tcPr>
          <w:p>
            <w:pPr>
              <w:numPr>
                <w:ilvl w:val="0"/>
                <w:numId w:val="6"/>
              </w:numPr>
              <w:ind w:left="425" w:leftChars="0" w:hanging="425" w:firstLineChars="0"/>
              <w:rPr>
                <w:rFonts w:hint="eastAsia"/>
                <w:color w:val="auto"/>
                <w:sz w:val="21"/>
                <w:szCs w:val="21"/>
                <w:lang w:val="en-US" w:eastAsia="zh-CN"/>
              </w:rPr>
            </w:pPr>
            <w:r>
              <w:rPr>
                <w:rFonts w:hint="eastAsia"/>
                <w:color w:val="auto"/>
                <w:sz w:val="21"/>
                <w:szCs w:val="21"/>
                <w:lang w:val="en-US" w:eastAsia="zh-CN"/>
              </w:rPr>
              <w:t>系统应基于大数据平台架构，具备海量数据收集与快速检索能力系统应基于B/S架构，支持SSL加密模式访问，可通过web方式直接对系统进行管理。</w:t>
            </w:r>
          </w:p>
          <w:p>
            <w:pPr>
              <w:numPr>
                <w:ilvl w:val="0"/>
                <w:numId w:val="6"/>
              </w:numPr>
              <w:ind w:left="425" w:leftChars="0" w:hanging="425" w:firstLineChars="0"/>
              <w:rPr>
                <w:rFonts w:hint="eastAsia"/>
                <w:color w:val="auto"/>
                <w:sz w:val="21"/>
                <w:szCs w:val="21"/>
                <w:lang w:val="en-US" w:eastAsia="zh-CN"/>
              </w:rPr>
            </w:pPr>
            <w:r>
              <w:rPr>
                <w:rFonts w:hint="eastAsia"/>
                <w:color w:val="auto"/>
                <w:sz w:val="21"/>
                <w:szCs w:val="21"/>
                <w:lang w:val="en-US" w:eastAsia="zh-CN"/>
              </w:rPr>
              <w:t>系统应支持内置采集器，不依赖其他设备即可进行日志采集。</w:t>
            </w:r>
            <w:r>
              <w:rPr>
                <w:rFonts w:ascii="宋体" w:hAnsi="宋体"/>
                <w:color w:val="auto"/>
                <w:sz w:val="21"/>
                <w:szCs w:val="21"/>
              </w:rPr>
              <w:t>支持外置采集器，</w:t>
            </w:r>
            <w:r>
              <w:rPr>
                <w:rFonts w:hint="eastAsia" w:ascii="宋体" w:hAnsi="宋体"/>
                <w:color w:val="auto"/>
                <w:sz w:val="21"/>
                <w:szCs w:val="21"/>
              </w:rPr>
              <w:t>外置</w:t>
            </w:r>
            <w:r>
              <w:rPr>
                <w:rFonts w:ascii="宋体" w:hAnsi="宋体"/>
                <w:color w:val="auto"/>
                <w:sz w:val="21"/>
                <w:szCs w:val="21"/>
              </w:rPr>
              <w:t>采集器数据应提供加密压缩传输，以确保数据安全</w:t>
            </w:r>
            <w:r>
              <w:rPr>
                <w:rFonts w:hint="eastAsia" w:ascii="宋体" w:hAnsi="宋体"/>
                <w:color w:val="auto"/>
                <w:sz w:val="21"/>
                <w:szCs w:val="21"/>
              </w:rPr>
              <w:t>以及</w:t>
            </w:r>
            <w:r>
              <w:rPr>
                <w:rFonts w:ascii="宋体" w:hAnsi="宋体"/>
                <w:color w:val="auto"/>
                <w:sz w:val="21"/>
                <w:szCs w:val="21"/>
              </w:rPr>
              <w:t>传输</w:t>
            </w:r>
            <w:r>
              <w:rPr>
                <w:rFonts w:hint="eastAsia" w:ascii="宋体" w:hAnsi="宋体"/>
                <w:color w:val="auto"/>
                <w:sz w:val="21"/>
                <w:szCs w:val="21"/>
              </w:rPr>
              <w:t>效率</w:t>
            </w:r>
            <w:r>
              <w:rPr>
                <w:rFonts w:hint="eastAsia" w:ascii="宋体" w:hAnsi="宋体"/>
                <w:color w:val="auto"/>
                <w:sz w:val="21"/>
                <w:szCs w:val="21"/>
                <w:lang w:eastAsia="zh-CN"/>
              </w:rPr>
              <w:t>。</w:t>
            </w:r>
            <w:r>
              <w:rPr>
                <w:rFonts w:hint="eastAsia"/>
                <w:color w:val="auto"/>
                <w:sz w:val="21"/>
                <w:szCs w:val="21"/>
                <w:lang w:val="en-US" w:eastAsia="zh-CN"/>
              </w:rPr>
              <w:t>须提供界面截图。</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系统应支持NAT环境下的Agent部署模式</w:t>
            </w:r>
            <w:r>
              <w:rPr>
                <w:rFonts w:hint="eastAsia" w:ascii="宋体" w:hAnsi="宋体"/>
                <w:color w:val="auto"/>
                <w:sz w:val="21"/>
                <w:szCs w:val="21"/>
                <w:lang w:eastAsia="zh-CN"/>
              </w:rPr>
              <w:t>，</w:t>
            </w:r>
            <w:r>
              <w:rPr>
                <w:rFonts w:hint="eastAsia"/>
                <w:color w:val="auto"/>
                <w:sz w:val="21"/>
                <w:szCs w:val="21"/>
              </w:rPr>
              <w:t>支持单机部署，集群部署，分布式部署</w:t>
            </w:r>
            <w:r>
              <w:rPr>
                <w:rFonts w:hint="eastAsia"/>
                <w:color w:val="auto"/>
                <w:sz w:val="21"/>
                <w:szCs w:val="21"/>
                <w:lang w:eastAsia="zh-CN"/>
              </w:rPr>
              <w:t>，</w:t>
            </w:r>
            <w:r>
              <w:rPr>
                <w:rFonts w:hint="eastAsia" w:ascii="宋体" w:hAnsi="宋体"/>
                <w:color w:val="auto"/>
                <w:sz w:val="21"/>
                <w:szCs w:val="21"/>
              </w:rPr>
              <w:t>须提供</w:t>
            </w:r>
            <w:r>
              <w:rPr>
                <w:rFonts w:hint="eastAsia" w:ascii="宋体" w:hAnsi="宋体"/>
                <w:color w:val="auto"/>
                <w:sz w:val="21"/>
                <w:szCs w:val="21"/>
                <w:lang w:val="en-US" w:eastAsia="zh-CN"/>
              </w:rPr>
              <w:t>界面</w:t>
            </w:r>
            <w:r>
              <w:rPr>
                <w:rFonts w:hint="eastAsia" w:ascii="宋体" w:hAnsi="宋体"/>
                <w:color w:val="auto"/>
                <w:sz w:val="21"/>
                <w:szCs w:val="21"/>
              </w:rPr>
              <w:t>截图</w:t>
            </w:r>
            <w:r>
              <w:rPr>
                <w:rFonts w:hint="eastAsia" w:ascii="宋体" w:hAnsi="宋体"/>
                <w:color w:val="auto"/>
                <w:sz w:val="21"/>
                <w:szCs w:val="21"/>
                <w:lang w:eastAsia="zh-CN"/>
              </w:rPr>
              <w:t>。</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系统应能实现海量日志数据的采集并保存原始日志数据</w:t>
            </w:r>
            <w:r>
              <w:rPr>
                <w:rFonts w:hint="eastAsia" w:ascii="宋体" w:hAnsi="宋体"/>
                <w:color w:val="auto"/>
                <w:sz w:val="21"/>
                <w:szCs w:val="21"/>
                <w:lang w:eastAsia="zh-CN"/>
              </w:rPr>
              <w:t>，能够对异构日志格式进行统一化处理并保存统一化处理后的日志数据。</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系统支持的数据采集范围包括但不限于网络安全设备、交换设备、路由设备、操作系统、应用系统等</w:t>
            </w:r>
            <w:r>
              <w:rPr>
                <w:rFonts w:hint="eastAsia" w:ascii="宋体" w:hAnsi="宋体"/>
                <w:color w:val="auto"/>
                <w:sz w:val="21"/>
                <w:szCs w:val="21"/>
                <w:lang w:eastAsia="zh-CN"/>
              </w:rPr>
              <w:t>。</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系统支持的数据采集方式包括但不限于</w:t>
            </w:r>
            <w:r>
              <w:rPr>
                <w:rFonts w:hint="eastAsia"/>
                <w:color w:val="auto"/>
                <w:sz w:val="21"/>
                <w:szCs w:val="21"/>
              </w:rPr>
              <w:t>SYSLOG、R</w:t>
            </w:r>
            <w:r>
              <w:rPr>
                <w:color w:val="auto"/>
                <w:sz w:val="21"/>
                <w:szCs w:val="21"/>
              </w:rPr>
              <w:t>SYSLOG</w:t>
            </w:r>
            <w:r>
              <w:rPr>
                <w:rFonts w:hint="eastAsia"/>
                <w:color w:val="auto"/>
                <w:sz w:val="21"/>
                <w:szCs w:val="21"/>
              </w:rPr>
              <w:t>、SNMP</w:t>
            </w:r>
            <w:r>
              <w:rPr>
                <w:color w:val="auto"/>
                <w:sz w:val="21"/>
                <w:szCs w:val="21"/>
              </w:rPr>
              <w:t xml:space="preserve"> </w:t>
            </w:r>
            <w:r>
              <w:rPr>
                <w:rFonts w:hint="eastAsia"/>
                <w:color w:val="auto"/>
                <w:sz w:val="21"/>
                <w:szCs w:val="21"/>
              </w:rPr>
              <w:t>Trap、FTP、ODBC、JDBC、Net</w:t>
            </w:r>
            <w:r>
              <w:rPr>
                <w:color w:val="auto"/>
                <w:sz w:val="21"/>
                <w:szCs w:val="21"/>
              </w:rPr>
              <w:t xml:space="preserve"> </w:t>
            </w:r>
            <w:r>
              <w:rPr>
                <w:rFonts w:hint="eastAsia"/>
                <w:color w:val="auto"/>
                <w:sz w:val="21"/>
                <w:szCs w:val="21"/>
              </w:rPr>
              <w:t>flow</w:t>
            </w:r>
            <w:r>
              <w:rPr>
                <w:rFonts w:hint="eastAsia" w:ascii="宋体" w:hAnsi="宋体"/>
                <w:color w:val="auto"/>
                <w:sz w:val="21"/>
                <w:szCs w:val="21"/>
              </w:rPr>
              <w:t>、W</w:t>
            </w:r>
            <w:r>
              <w:rPr>
                <w:rFonts w:ascii="宋体" w:hAnsi="宋体"/>
                <w:color w:val="auto"/>
                <w:sz w:val="21"/>
                <w:szCs w:val="21"/>
              </w:rPr>
              <w:t>MI</w:t>
            </w:r>
            <w:r>
              <w:rPr>
                <w:rFonts w:hint="eastAsia" w:ascii="宋体" w:hAnsi="宋体"/>
                <w:color w:val="auto"/>
                <w:sz w:val="21"/>
                <w:szCs w:val="21"/>
              </w:rPr>
              <w:t>、二进制数据、专用Agent等方式采集日志</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系统支持采集的设备厂家包括但不限于：</w:t>
            </w:r>
            <w:r>
              <w:rPr>
                <w:rFonts w:ascii="宋体" w:hAnsi="宋体"/>
                <w:color w:val="auto"/>
                <w:sz w:val="21"/>
                <w:szCs w:val="21"/>
              </w:rPr>
              <w:t>NSFOCUS(绿盟科技)</w:t>
            </w:r>
            <w:r>
              <w:rPr>
                <w:rFonts w:hint="eastAsia" w:ascii="宋体" w:hAnsi="宋体"/>
                <w:color w:val="auto"/>
                <w:sz w:val="21"/>
                <w:szCs w:val="21"/>
              </w:rPr>
              <w:t>、</w:t>
            </w:r>
            <w:r>
              <w:rPr>
                <w:rFonts w:ascii="宋体" w:hAnsi="宋体"/>
                <w:color w:val="auto"/>
                <w:sz w:val="21"/>
                <w:szCs w:val="21"/>
              </w:rPr>
              <w:t>Venustech(启明星辰)</w:t>
            </w:r>
            <w:r>
              <w:rPr>
                <w:rFonts w:hint="eastAsia" w:ascii="宋体" w:hAnsi="宋体"/>
                <w:color w:val="auto"/>
                <w:sz w:val="21"/>
                <w:szCs w:val="21"/>
              </w:rPr>
              <w:t>、</w:t>
            </w:r>
            <w:r>
              <w:rPr>
                <w:rFonts w:ascii="宋体" w:hAnsi="宋体"/>
                <w:color w:val="auto"/>
                <w:sz w:val="21"/>
                <w:szCs w:val="21"/>
              </w:rPr>
              <w:t>Topsec(天融信)</w:t>
            </w:r>
            <w:r>
              <w:rPr>
                <w:rFonts w:hint="eastAsia" w:ascii="宋体" w:hAnsi="宋体"/>
                <w:color w:val="auto"/>
                <w:sz w:val="21"/>
                <w:szCs w:val="21"/>
              </w:rPr>
              <w:t>、</w:t>
            </w:r>
            <w:r>
              <w:rPr>
                <w:rFonts w:ascii="宋体" w:hAnsi="宋体"/>
                <w:color w:val="auto"/>
                <w:sz w:val="21"/>
                <w:szCs w:val="21"/>
              </w:rPr>
              <w:t>DBAPPSecurit(安恒)</w:t>
            </w:r>
            <w:r>
              <w:rPr>
                <w:rFonts w:hint="eastAsia" w:ascii="宋体" w:hAnsi="宋体"/>
                <w:color w:val="auto"/>
                <w:sz w:val="21"/>
                <w:szCs w:val="21"/>
              </w:rPr>
              <w:t>、</w:t>
            </w:r>
            <w:r>
              <w:rPr>
                <w:rFonts w:ascii="宋体" w:hAnsi="宋体"/>
                <w:color w:val="auto"/>
                <w:sz w:val="21"/>
                <w:szCs w:val="21"/>
              </w:rPr>
              <w:t>SANGFOR(深信服)</w:t>
            </w:r>
            <w:r>
              <w:rPr>
                <w:rFonts w:hint="eastAsia" w:ascii="宋体" w:hAnsi="宋体"/>
                <w:color w:val="auto"/>
                <w:sz w:val="21"/>
                <w:szCs w:val="21"/>
              </w:rPr>
              <w:t>、</w:t>
            </w:r>
            <w:r>
              <w:rPr>
                <w:rFonts w:ascii="宋体" w:hAnsi="宋体"/>
                <w:color w:val="auto"/>
                <w:sz w:val="21"/>
                <w:szCs w:val="21"/>
              </w:rPr>
              <w:t>Hillstone(山石网科)</w:t>
            </w:r>
            <w:r>
              <w:rPr>
                <w:rFonts w:hint="eastAsia" w:ascii="宋体" w:hAnsi="宋体"/>
                <w:color w:val="auto"/>
                <w:sz w:val="21"/>
                <w:szCs w:val="21"/>
              </w:rPr>
              <w:t>、东软、瑞星、金山、网康、</w:t>
            </w:r>
            <w:r>
              <w:rPr>
                <w:rFonts w:ascii="宋体" w:hAnsi="宋体"/>
                <w:color w:val="auto"/>
                <w:sz w:val="21"/>
                <w:szCs w:val="21"/>
              </w:rPr>
              <w:t>360网神</w:t>
            </w:r>
            <w:r>
              <w:rPr>
                <w:rFonts w:hint="eastAsia" w:ascii="宋体" w:hAnsi="宋体"/>
                <w:color w:val="auto"/>
                <w:sz w:val="21"/>
                <w:szCs w:val="21"/>
              </w:rPr>
              <w:t>、</w:t>
            </w:r>
            <w:r>
              <w:rPr>
                <w:rFonts w:ascii="宋体" w:hAnsi="宋体"/>
                <w:color w:val="auto"/>
                <w:sz w:val="21"/>
                <w:szCs w:val="21"/>
              </w:rPr>
              <w:t>Dptech(迪普)</w:t>
            </w:r>
            <w:r>
              <w:rPr>
                <w:rFonts w:hint="eastAsia" w:ascii="宋体" w:hAnsi="宋体"/>
                <w:color w:val="auto"/>
                <w:sz w:val="21"/>
                <w:szCs w:val="21"/>
              </w:rPr>
              <w:t>、艾科网信、</w:t>
            </w:r>
            <w:r>
              <w:rPr>
                <w:rFonts w:ascii="宋体" w:hAnsi="宋体"/>
                <w:color w:val="auto"/>
                <w:sz w:val="21"/>
                <w:szCs w:val="21"/>
              </w:rPr>
              <w:t>Imperva</w:t>
            </w:r>
            <w:r>
              <w:rPr>
                <w:rFonts w:hint="eastAsia" w:ascii="宋体" w:hAnsi="宋体"/>
                <w:color w:val="auto"/>
                <w:sz w:val="21"/>
                <w:szCs w:val="21"/>
              </w:rPr>
              <w:t>、</w:t>
            </w:r>
            <w:r>
              <w:rPr>
                <w:rFonts w:ascii="宋体" w:hAnsi="宋体"/>
                <w:color w:val="auto"/>
                <w:sz w:val="21"/>
                <w:szCs w:val="21"/>
              </w:rPr>
              <w:t>Juniper(瞻博网络)</w:t>
            </w:r>
            <w:r>
              <w:rPr>
                <w:rFonts w:hint="eastAsia" w:ascii="宋体" w:hAnsi="宋体"/>
                <w:color w:val="auto"/>
                <w:sz w:val="21"/>
                <w:szCs w:val="21"/>
              </w:rPr>
              <w:t>、</w:t>
            </w:r>
            <w:r>
              <w:rPr>
                <w:rFonts w:ascii="宋体" w:hAnsi="宋体"/>
                <w:color w:val="auto"/>
                <w:sz w:val="21"/>
                <w:szCs w:val="21"/>
              </w:rPr>
              <w:t>F5</w:t>
            </w:r>
            <w:r>
              <w:rPr>
                <w:rFonts w:hint="eastAsia" w:ascii="宋体" w:hAnsi="宋体"/>
                <w:color w:val="auto"/>
                <w:sz w:val="21"/>
                <w:szCs w:val="21"/>
              </w:rPr>
              <w:t>、</w:t>
            </w:r>
            <w:r>
              <w:rPr>
                <w:rFonts w:ascii="宋体" w:hAnsi="宋体"/>
                <w:color w:val="auto"/>
                <w:sz w:val="21"/>
                <w:szCs w:val="21"/>
              </w:rPr>
              <w:t>Symantec(赛门铁克)</w:t>
            </w:r>
            <w:r>
              <w:rPr>
                <w:rFonts w:hint="eastAsia" w:ascii="宋体" w:hAnsi="宋体"/>
                <w:color w:val="auto"/>
                <w:sz w:val="21"/>
                <w:szCs w:val="21"/>
              </w:rPr>
              <w:t>、</w:t>
            </w:r>
            <w:r>
              <w:rPr>
                <w:rFonts w:ascii="宋体" w:hAnsi="宋体"/>
                <w:color w:val="auto"/>
                <w:sz w:val="21"/>
                <w:szCs w:val="21"/>
              </w:rPr>
              <w:t>Deep Security(趋势科技)</w:t>
            </w:r>
            <w:r>
              <w:rPr>
                <w:rFonts w:hint="eastAsia" w:ascii="宋体" w:hAnsi="宋体"/>
                <w:color w:val="auto"/>
                <w:sz w:val="21"/>
                <w:szCs w:val="21"/>
              </w:rPr>
              <w:t>、</w:t>
            </w:r>
            <w:r>
              <w:rPr>
                <w:rFonts w:ascii="宋体" w:hAnsi="宋体"/>
                <w:color w:val="auto"/>
                <w:sz w:val="21"/>
                <w:szCs w:val="21"/>
              </w:rPr>
              <w:t>MaAfee(迈克菲)</w:t>
            </w:r>
            <w:r>
              <w:rPr>
                <w:rFonts w:hint="eastAsia" w:ascii="宋体" w:hAnsi="宋体"/>
                <w:color w:val="auto"/>
                <w:sz w:val="21"/>
                <w:szCs w:val="21"/>
              </w:rPr>
              <w:t>、</w:t>
            </w:r>
            <w:r>
              <w:rPr>
                <w:rFonts w:ascii="宋体" w:hAnsi="宋体"/>
                <w:color w:val="auto"/>
                <w:sz w:val="21"/>
                <w:szCs w:val="21"/>
              </w:rPr>
              <w:t>Fortinet(飞塔)</w:t>
            </w:r>
            <w:r>
              <w:rPr>
                <w:rFonts w:hint="eastAsia" w:ascii="宋体" w:hAnsi="宋体"/>
                <w:color w:val="auto"/>
                <w:sz w:val="21"/>
                <w:szCs w:val="21"/>
              </w:rPr>
              <w:t>、</w:t>
            </w:r>
            <w:r>
              <w:rPr>
                <w:rFonts w:ascii="宋体" w:hAnsi="宋体"/>
                <w:color w:val="auto"/>
                <w:sz w:val="21"/>
                <w:szCs w:val="21"/>
              </w:rPr>
              <w:t>Windows</w:t>
            </w:r>
            <w:r>
              <w:rPr>
                <w:rFonts w:hint="eastAsia" w:ascii="宋体" w:hAnsi="宋体"/>
                <w:color w:val="auto"/>
                <w:sz w:val="21"/>
                <w:szCs w:val="21"/>
              </w:rPr>
              <w:t>、</w:t>
            </w:r>
            <w:r>
              <w:rPr>
                <w:rFonts w:ascii="宋体" w:hAnsi="宋体"/>
                <w:color w:val="auto"/>
                <w:sz w:val="21"/>
                <w:szCs w:val="21"/>
              </w:rPr>
              <w:t>Linux/Unix</w:t>
            </w:r>
            <w:r>
              <w:rPr>
                <w:rFonts w:hint="eastAsia" w:ascii="宋体" w:hAnsi="宋体"/>
                <w:color w:val="auto"/>
                <w:sz w:val="21"/>
                <w:szCs w:val="21"/>
              </w:rPr>
              <w:t>、</w:t>
            </w:r>
            <w:r>
              <w:rPr>
                <w:rFonts w:ascii="宋体" w:hAnsi="宋体"/>
                <w:color w:val="auto"/>
                <w:sz w:val="21"/>
                <w:szCs w:val="21"/>
              </w:rPr>
              <w:t>Cisco(思科)</w:t>
            </w:r>
            <w:r>
              <w:rPr>
                <w:rFonts w:hint="eastAsia" w:ascii="宋体" w:hAnsi="宋体"/>
                <w:color w:val="auto"/>
                <w:sz w:val="21"/>
                <w:szCs w:val="21"/>
              </w:rPr>
              <w:t>、</w:t>
            </w:r>
            <w:r>
              <w:rPr>
                <w:rFonts w:ascii="宋体" w:hAnsi="宋体"/>
                <w:color w:val="auto"/>
                <w:sz w:val="21"/>
                <w:szCs w:val="21"/>
              </w:rPr>
              <w:t>HUAWEI(华为)</w:t>
            </w:r>
            <w:r>
              <w:rPr>
                <w:rFonts w:hint="eastAsia" w:ascii="宋体" w:hAnsi="宋体"/>
                <w:color w:val="auto"/>
                <w:sz w:val="21"/>
                <w:szCs w:val="21"/>
              </w:rPr>
              <w:t>、</w:t>
            </w:r>
            <w:r>
              <w:rPr>
                <w:rFonts w:ascii="宋体" w:hAnsi="宋体"/>
                <w:color w:val="auto"/>
                <w:sz w:val="21"/>
                <w:szCs w:val="21"/>
              </w:rPr>
              <w:t>H3C(华三)</w:t>
            </w:r>
            <w:r>
              <w:rPr>
                <w:rFonts w:hint="eastAsia" w:ascii="宋体" w:hAnsi="宋体"/>
                <w:color w:val="auto"/>
                <w:sz w:val="21"/>
                <w:szCs w:val="21"/>
              </w:rPr>
              <w:t>、中兴、</w:t>
            </w:r>
            <w:r>
              <w:rPr>
                <w:rFonts w:ascii="宋体" w:hAnsi="宋体"/>
                <w:color w:val="auto"/>
                <w:sz w:val="21"/>
                <w:szCs w:val="21"/>
              </w:rPr>
              <w:t>Apache</w:t>
            </w:r>
            <w:r>
              <w:rPr>
                <w:rFonts w:hint="eastAsia" w:ascii="宋体" w:hAnsi="宋体"/>
                <w:color w:val="auto"/>
                <w:sz w:val="21"/>
                <w:szCs w:val="21"/>
              </w:rPr>
              <w:t>、</w:t>
            </w:r>
            <w:r>
              <w:rPr>
                <w:rFonts w:ascii="宋体" w:hAnsi="宋体"/>
                <w:color w:val="auto"/>
                <w:sz w:val="21"/>
                <w:szCs w:val="21"/>
              </w:rPr>
              <w:t xml:space="preserve">nginx </w:t>
            </w:r>
            <w:r>
              <w:rPr>
                <w:rFonts w:hint="eastAsia" w:ascii="宋体" w:hAnsi="宋体"/>
                <w:color w:val="auto"/>
                <w:sz w:val="21"/>
                <w:szCs w:val="21"/>
              </w:rPr>
              <w:t>、</w:t>
            </w:r>
            <w:r>
              <w:rPr>
                <w:rFonts w:ascii="宋体" w:hAnsi="宋体"/>
                <w:color w:val="auto"/>
                <w:sz w:val="21"/>
                <w:szCs w:val="21"/>
              </w:rPr>
              <w:t>IIS</w:t>
            </w:r>
            <w:r>
              <w:rPr>
                <w:rFonts w:hint="eastAsia" w:ascii="宋体" w:hAnsi="宋体"/>
                <w:color w:val="auto"/>
                <w:sz w:val="21"/>
                <w:szCs w:val="21"/>
              </w:rPr>
              <w:t>、</w:t>
            </w:r>
            <w:r>
              <w:rPr>
                <w:rFonts w:ascii="宋体" w:hAnsi="宋体"/>
                <w:color w:val="auto"/>
                <w:sz w:val="21"/>
                <w:szCs w:val="21"/>
              </w:rPr>
              <w:t>WebLogic</w:t>
            </w:r>
            <w:r>
              <w:rPr>
                <w:rFonts w:hint="eastAsia" w:ascii="宋体" w:hAnsi="宋体"/>
                <w:color w:val="auto"/>
                <w:sz w:val="21"/>
                <w:szCs w:val="21"/>
              </w:rPr>
              <w:t>、</w:t>
            </w:r>
            <w:r>
              <w:rPr>
                <w:rFonts w:ascii="宋体" w:hAnsi="宋体"/>
                <w:color w:val="auto"/>
                <w:sz w:val="21"/>
                <w:szCs w:val="21"/>
              </w:rPr>
              <w:t>Vmware</w:t>
            </w:r>
            <w:r>
              <w:rPr>
                <w:rFonts w:hint="eastAsia" w:ascii="宋体" w:hAnsi="宋体"/>
                <w:color w:val="auto"/>
                <w:sz w:val="21"/>
                <w:szCs w:val="21"/>
              </w:rPr>
              <w:t>、</w:t>
            </w:r>
            <w:r>
              <w:rPr>
                <w:rFonts w:ascii="宋体" w:hAnsi="宋体"/>
                <w:color w:val="auto"/>
                <w:sz w:val="21"/>
                <w:szCs w:val="21"/>
              </w:rPr>
              <w:t>Kvm</w:t>
            </w:r>
            <w:r>
              <w:rPr>
                <w:rFonts w:hint="eastAsia" w:ascii="宋体" w:hAnsi="宋体"/>
                <w:color w:val="auto"/>
                <w:sz w:val="21"/>
                <w:szCs w:val="21"/>
              </w:rPr>
              <w:t>、</w:t>
            </w:r>
            <w:r>
              <w:rPr>
                <w:rFonts w:ascii="宋体" w:hAnsi="宋体"/>
                <w:color w:val="auto"/>
                <w:sz w:val="21"/>
                <w:szCs w:val="21"/>
              </w:rPr>
              <w:t>Xen</w:t>
            </w:r>
            <w:r>
              <w:rPr>
                <w:rFonts w:hint="eastAsia" w:ascii="宋体" w:hAnsi="宋体"/>
                <w:color w:val="auto"/>
                <w:sz w:val="21"/>
                <w:szCs w:val="21"/>
              </w:rPr>
              <w:t>、</w:t>
            </w:r>
            <w:r>
              <w:rPr>
                <w:rFonts w:ascii="宋体" w:hAnsi="宋体"/>
                <w:color w:val="auto"/>
                <w:sz w:val="21"/>
                <w:szCs w:val="21"/>
              </w:rPr>
              <w:t>OpenStack</w:t>
            </w:r>
            <w:r>
              <w:rPr>
                <w:rFonts w:hint="eastAsia" w:ascii="宋体" w:hAnsi="宋体"/>
                <w:color w:val="auto"/>
                <w:sz w:val="21"/>
                <w:szCs w:val="21"/>
              </w:rPr>
              <w:t>、</w:t>
            </w:r>
            <w:r>
              <w:rPr>
                <w:rFonts w:ascii="宋体" w:hAnsi="宋体"/>
                <w:color w:val="auto"/>
                <w:sz w:val="21"/>
                <w:szCs w:val="21"/>
              </w:rPr>
              <w:t>Hyper-V</w:t>
            </w:r>
            <w:r>
              <w:rPr>
                <w:rFonts w:hint="eastAsia" w:ascii="宋体" w:hAnsi="宋体"/>
                <w:color w:val="auto"/>
                <w:sz w:val="21"/>
                <w:szCs w:val="21"/>
              </w:rPr>
              <w:t>、华为</w:t>
            </w:r>
            <w:r>
              <w:rPr>
                <w:rFonts w:ascii="宋体" w:hAnsi="宋体"/>
                <w:color w:val="auto"/>
                <w:sz w:val="21"/>
                <w:szCs w:val="21"/>
              </w:rPr>
              <w:t>FusionSphere</w:t>
            </w:r>
            <w:r>
              <w:rPr>
                <w:rFonts w:hint="eastAsia" w:ascii="宋体" w:hAnsi="宋体"/>
                <w:color w:val="auto"/>
                <w:sz w:val="21"/>
                <w:szCs w:val="21"/>
              </w:rPr>
              <w:t>、</w:t>
            </w:r>
            <w:r>
              <w:rPr>
                <w:rFonts w:ascii="宋体" w:hAnsi="宋体"/>
                <w:color w:val="auto"/>
                <w:sz w:val="21"/>
                <w:szCs w:val="21"/>
              </w:rPr>
              <w:t>Oracle</w:t>
            </w:r>
            <w:r>
              <w:rPr>
                <w:rFonts w:hint="eastAsia" w:ascii="宋体" w:hAnsi="宋体"/>
                <w:color w:val="auto"/>
                <w:sz w:val="21"/>
                <w:szCs w:val="21"/>
              </w:rPr>
              <w:t>、</w:t>
            </w:r>
            <w:r>
              <w:rPr>
                <w:rFonts w:ascii="宋体" w:hAnsi="宋体"/>
                <w:color w:val="auto"/>
                <w:sz w:val="21"/>
                <w:szCs w:val="21"/>
              </w:rPr>
              <w:t>MySQL</w:t>
            </w:r>
            <w:r>
              <w:rPr>
                <w:rFonts w:hint="eastAsia" w:ascii="宋体" w:hAnsi="宋体"/>
                <w:color w:val="auto"/>
                <w:sz w:val="21"/>
                <w:szCs w:val="21"/>
              </w:rPr>
              <w:t>、</w:t>
            </w:r>
            <w:r>
              <w:rPr>
                <w:rFonts w:ascii="宋体" w:hAnsi="宋体"/>
                <w:color w:val="auto"/>
                <w:sz w:val="21"/>
                <w:szCs w:val="21"/>
              </w:rPr>
              <w:t>PostgreSQL</w:t>
            </w:r>
            <w:r>
              <w:rPr>
                <w:rFonts w:hint="eastAsia" w:ascii="宋体" w:hAnsi="宋体"/>
                <w:color w:val="auto"/>
                <w:sz w:val="21"/>
                <w:szCs w:val="21"/>
              </w:rPr>
              <w:t>、</w:t>
            </w:r>
            <w:r>
              <w:rPr>
                <w:rFonts w:ascii="宋体" w:hAnsi="宋体"/>
                <w:color w:val="auto"/>
                <w:sz w:val="21"/>
                <w:szCs w:val="21"/>
              </w:rPr>
              <w:t>SQL Server</w:t>
            </w:r>
            <w:r>
              <w:rPr>
                <w:rFonts w:hint="eastAsia" w:ascii="宋体" w:hAnsi="宋体"/>
                <w:color w:val="auto"/>
                <w:sz w:val="21"/>
                <w:szCs w:val="21"/>
              </w:rPr>
              <w:t>、</w:t>
            </w:r>
            <w:r>
              <w:rPr>
                <w:rFonts w:ascii="宋体" w:hAnsi="宋体"/>
                <w:color w:val="auto"/>
                <w:sz w:val="21"/>
                <w:szCs w:val="21"/>
              </w:rPr>
              <w:t>Bind</w:t>
            </w:r>
            <w:r>
              <w:rPr>
                <w:rFonts w:hint="eastAsia" w:ascii="宋体" w:hAnsi="宋体"/>
                <w:color w:val="auto"/>
                <w:sz w:val="21"/>
                <w:szCs w:val="21"/>
              </w:rPr>
              <w:t>等</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系统应支持界面配置即可完成未识别日志接入，无需编写xml</w:t>
            </w:r>
            <w:r>
              <w:rPr>
                <w:rFonts w:hint="eastAsia" w:ascii="宋体" w:hAnsi="宋体"/>
                <w:color w:val="auto"/>
                <w:sz w:val="21"/>
                <w:szCs w:val="21"/>
                <w:lang w:eastAsia="zh-CN"/>
              </w:rPr>
              <w:t>。</w:t>
            </w:r>
            <w:r>
              <w:rPr>
                <w:rFonts w:hint="eastAsia" w:ascii="宋体" w:hAnsi="宋体"/>
                <w:color w:val="auto"/>
                <w:sz w:val="21"/>
                <w:szCs w:val="21"/>
              </w:rPr>
              <w:t>支持范式化日志多级提取</w:t>
            </w:r>
            <w:r>
              <w:rPr>
                <w:rFonts w:hint="eastAsia" w:ascii="宋体" w:hAnsi="宋体"/>
                <w:color w:val="auto"/>
                <w:sz w:val="21"/>
                <w:szCs w:val="21"/>
                <w:lang w:eastAsia="zh-CN"/>
              </w:rPr>
              <w:t>。</w:t>
            </w:r>
            <w:r>
              <w:rPr>
                <w:rFonts w:hint="eastAsia" w:ascii="宋体" w:hAnsi="宋体"/>
                <w:color w:val="auto"/>
                <w:sz w:val="21"/>
                <w:szCs w:val="21"/>
              </w:rPr>
              <w:t>支持正则、</w:t>
            </w:r>
            <w:r>
              <w:rPr>
                <w:rFonts w:ascii="宋体" w:hAnsi="宋体"/>
                <w:color w:val="auto"/>
                <w:sz w:val="21"/>
                <w:szCs w:val="21"/>
              </w:rPr>
              <w:t>KV</w:t>
            </w:r>
            <w:r>
              <w:rPr>
                <w:rFonts w:hint="eastAsia" w:ascii="宋体" w:hAnsi="宋体"/>
                <w:color w:val="auto"/>
                <w:sz w:val="21"/>
                <w:szCs w:val="21"/>
              </w:rPr>
              <w:t>、格式串等多种灵活的提取方式</w:t>
            </w:r>
            <w:r>
              <w:rPr>
                <w:rFonts w:hint="eastAsia" w:ascii="宋体" w:hAnsi="宋体"/>
                <w:color w:val="auto"/>
                <w:sz w:val="21"/>
                <w:szCs w:val="21"/>
                <w:lang w:eastAsia="zh-CN"/>
              </w:rPr>
              <w:t>。</w:t>
            </w:r>
            <w:r>
              <w:rPr>
                <w:rFonts w:hint="eastAsia" w:ascii="宋体" w:hAnsi="宋体"/>
                <w:color w:val="auto"/>
                <w:sz w:val="21"/>
                <w:szCs w:val="21"/>
              </w:rPr>
              <w:t>支持自动生成正则以高效的辅助提取</w:t>
            </w:r>
            <w:r>
              <w:rPr>
                <w:rFonts w:hint="eastAsia" w:ascii="宋体" w:hAnsi="宋体"/>
                <w:color w:val="auto"/>
                <w:sz w:val="21"/>
                <w:szCs w:val="21"/>
                <w:lang w:eastAsia="zh-CN"/>
              </w:rPr>
              <w:t>，</w:t>
            </w:r>
            <w:r>
              <w:rPr>
                <w:rFonts w:hint="eastAsia"/>
                <w:color w:val="auto"/>
                <w:sz w:val="21"/>
                <w:szCs w:val="21"/>
                <w:lang w:val="en-US" w:eastAsia="zh-CN"/>
              </w:rPr>
              <w:t>须提供界面截图。</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系统应能够实现范式化日志的枚举值管理，实现对范式化日志字段的灵活翻译</w:t>
            </w:r>
            <w:r>
              <w:rPr>
                <w:rFonts w:hint="eastAsia" w:ascii="宋体" w:hAnsi="宋体"/>
                <w:color w:val="auto"/>
                <w:sz w:val="21"/>
                <w:szCs w:val="21"/>
                <w:lang w:eastAsia="zh-CN"/>
              </w:rPr>
              <w:t>。</w:t>
            </w:r>
            <w:r>
              <w:rPr>
                <w:rFonts w:hint="eastAsia" w:ascii="宋体" w:hAnsi="宋体"/>
                <w:color w:val="auto"/>
                <w:sz w:val="21"/>
                <w:szCs w:val="21"/>
              </w:rPr>
              <w:t>系统应支持日志源监控能力，包括采集器维度及资产维度的监控，资产维度支持展示资产详细信息</w:t>
            </w:r>
            <w:r>
              <w:rPr>
                <w:rFonts w:hint="eastAsia" w:ascii="宋体" w:hAnsi="宋体"/>
                <w:color w:val="auto"/>
                <w:sz w:val="21"/>
                <w:szCs w:val="21"/>
                <w:lang w:eastAsia="zh-CN"/>
              </w:rPr>
              <w:t>，</w:t>
            </w:r>
            <w:r>
              <w:rPr>
                <w:rFonts w:hint="eastAsia"/>
                <w:color w:val="auto"/>
                <w:sz w:val="21"/>
                <w:szCs w:val="21"/>
                <w:lang w:val="en-US" w:eastAsia="zh-CN"/>
              </w:rPr>
              <w:t>须提供界面截图。</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系统应提供日志转发功能，应支持日志转发多个目标地址，可实现原始日志、范式化日志的转发，且不丢失原始日志源IP信息</w:t>
            </w:r>
            <w:r>
              <w:rPr>
                <w:rFonts w:hint="eastAsia" w:ascii="宋体" w:hAnsi="宋体"/>
                <w:color w:val="auto"/>
                <w:sz w:val="21"/>
                <w:szCs w:val="21"/>
                <w:lang w:eastAsia="zh-CN"/>
              </w:rPr>
              <w:t>，</w:t>
            </w:r>
            <w:r>
              <w:rPr>
                <w:rFonts w:hint="eastAsia"/>
                <w:color w:val="auto"/>
                <w:sz w:val="21"/>
                <w:szCs w:val="21"/>
                <w:lang w:val="en-US" w:eastAsia="zh-CN"/>
              </w:rPr>
              <w:t>须提供界面截图。</w:t>
            </w:r>
          </w:p>
          <w:p>
            <w:pPr>
              <w:numPr>
                <w:ilvl w:val="0"/>
                <w:numId w:val="6"/>
              </w:numPr>
              <w:ind w:left="425" w:leftChars="0" w:hanging="425" w:firstLineChars="0"/>
              <w:rPr>
                <w:rFonts w:hint="eastAsia"/>
                <w:color w:val="auto"/>
                <w:sz w:val="21"/>
                <w:szCs w:val="21"/>
                <w:lang w:val="en-US" w:eastAsia="zh-CN"/>
              </w:rPr>
            </w:pPr>
            <w:r>
              <w:rPr>
                <w:rFonts w:hint="eastAsia" w:ascii="宋体" w:hAnsi="宋体"/>
                <w:color w:val="auto"/>
                <w:sz w:val="21"/>
                <w:szCs w:val="21"/>
              </w:rPr>
              <w:t>系统应支持资产属性配置</w:t>
            </w:r>
            <w:r>
              <w:rPr>
                <w:rFonts w:hint="eastAsia" w:ascii="宋体" w:hAnsi="宋体"/>
                <w:color w:val="auto"/>
                <w:sz w:val="21"/>
                <w:szCs w:val="21"/>
                <w:lang w:eastAsia="zh-CN"/>
              </w:rPr>
              <w:t>，</w:t>
            </w:r>
            <w:r>
              <w:rPr>
                <w:rFonts w:hint="eastAsia" w:ascii="宋体" w:hAnsi="宋体"/>
                <w:color w:val="auto"/>
                <w:sz w:val="21"/>
                <w:szCs w:val="21"/>
              </w:rPr>
              <w:t>支持资产标签，且至少6种标签以上，根据标签可快速查询资产</w:t>
            </w:r>
            <w:r>
              <w:rPr>
                <w:rFonts w:hint="eastAsia" w:ascii="宋体" w:hAnsi="宋体"/>
                <w:color w:val="auto"/>
                <w:sz w:val="21"/>
                <w:szCs w:val="21"/>
                <w:lang w:eastAsia="zh-CN"/>
              </w:rPr>
              <w:t>。</w:t>
            </w:r>
            <w:r>
              <w:rPr>
                <w:rFonts w:hint="eastAsia" w:ascii="宋体" w:hAnsi="宋体"/>
                <w:color w:val="auto"/>
                <w:sz w:val="21"/>
                <w:szCs w:val="21"/>
              </w:rPr>
              <w:t>系统应支持资产以拓扑图形式展示，鼠标移动至资产图标可展示对应的资产信息</w:t>
            </w:r>
            <w:r>
              <w:rPr>
                <w:rFonts w:hint="eastAsia" w:ascii="宋体" w:hAnsi="宋体"/>
                <w:color w:val="auto"/>
                <w:sz w:val="21"/>
                <w:szCs w:val="21"/>
                <w:lang w:eastAsia="zh-CN"/>
              </w:rPr>
              <w:t>，</w:t>
            </w:r>
            <w:r>
              <w:rPr>
                <w:rFonts w:hint="eastAsia"/>
                <w:color w:val="auto"/>
                <w:sz w:val="21"/>
                <w:szCs w:val="21"/>
                <w:lang w:val="en-US" w:eastAsia="zh-CN"/>
              </w:rPr>
              <w:t>须提供界面截图。</w:t>
            </w:r>
          </w:p>
          <w:p>
            <w:pPr>
              <w:ind w:firstLine="0" w:firstLineChars="0"/>
              <w:rPr>
                <w:rFonts w:hint="default"/>
                <w:color w:val="auto"/>
                <w:lang w:val="en-US"/>
              </w:rPr>
            </w:pPr>
          </w:p>
          <w:p>
            <w:pPr>
              <w:ind w:firstLine="0" w:firstLineChars="0"/>
              <w:rPr>
                <w:rFonts w:hint="default"/>
                <w:color w:val="auto"/>
                <w:lang w:val="en-US"/>
              </w:rPr>
            </w:pPr>
          </w:p>
          <w:p>
            <w:pPr>
              <w:ind w:firstLine="0" w:firstLineChars="0"/>
              <w:rPr>
                <w:rFonts w:hint="default"/>
                <w:color w:val="auto"/>
                <w:lang w:val="en-US"/>
              </w:rPr>
            </w:pPr>
          </w:p>
        </w:tc>
      </w:tr>
    </w:tbl>
    <w:p>
      <w:pPr>
        <w:pStyle w:val="2"/>
        <w:numPr>
          <w:ilvl w:val="0"/>
          <w:numId w:val="0"/>
        </w:numPr>
        <w:spacing w:after="156"/>
        <w:ind w:leftChars="0"/>
        <w:rPr>
          <w:rFonts w:hint="eastAsia" w:asciiTheme="minorEastAsia" w:hAnsiTheme="minorEastAsia" w:eastAsiaTheme="minorEastAsia"/>
          <w:color w:val="auto"/>
          <w:szCs w:val="21"/>
        </w:rPr>
      </w:pPr>
    </w:p>
    <w:bookmarkEnd w:id="9"/>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服务范围包括：</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安全漏洞检查，提供加固建议。</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安全配置合规检查。</w:t>
      </w:r>
    </w:p>
    <w:p>
      <w:pPr>
        <w:pStyle w:val="2"/>
        <w:numPr>
          <w:ilvl w:val="0"/>
          <w:numId w:val="2"/>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应用系统配置安全检查。</w:t>
      </w:r>
    </w:p>
    <w:p>
      <w:pPr>
        <w:pStyle w:val="2"/>
        <w:ind w:firstLine="422"/>
        <w:outlineLvl w:val="2"/>
        <w:rPr>
          <w:rFonts w:hint="eastAsia" w:asciiTheme="minorEastAsia" w:hAnsiTheme="minorEastAsia" w:eastAsiaTheme="minorEastAsia"/>
          <w:b/>
          <w:color w:val="auto"/>
          <w:szCs w:val="21"/>
        </w:rPr>
      </w:pPr>
      <w:r>
        <w:rPr>
          <w:rFonts w:hint="eastAsia" w:asciiTheme="minorEastAsia" w:hAnsiTheme="minorEastAsia" w:eastAsiaTheme="minorEastAsia"/>
          <w:b/>
          <w:color w:val="auto"/>
          <w:szCs w:val="21"/>
        </w:rPr>
        <w:t>具体要求如下：</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安全服务供应商应首先提供业务系统安全检查流程、方法。</w:t>
      </w:r>
    </w:p>
    <w:p>
      <w:pPr>
        <w:pStyle w:val="2"/>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每次服务完成后，提供安全漏洞、安全配置、web应用漏洞以及互联网渗透的报告，提出安全加固建议。</w:t>
      </w:r>
    </w:p>
    <w:p>
      <w:pPr>
        <w:outlineLvl w:val="1"/>
        <w:rPr>
          <w:rFonts w:hint="eastAsia" w:asciiTheme="minorEastAsia" w:hAnsiTheme="minorEastAsia" w:eastAsiaTheme="minorEastAsia"/>
          <w:color w:val="auto"/>
        </w:rPr>
      </w:pPr>
      <w:r>
        <w:rPr>
          <w:rFonts w:hint="eastAsia" w:asciiTheme="minorEastAsia" w:hAnsiTheme="minorEastAsia" w:eastAsiaTheme="minorEastAsia"/>
          <w:color w:val="auto"/>
          <w:lang w:val="en-US" w:eastAsia="zh-CN"/>
        </w:rPr>
        <w:t>5</w:t>
      </w:r>
      <w:r>
        <w:rPr>
          <w:rFonts w:hint="eastAsia" w:asciiTheme="minorEastAsia" w:hAnsiTheme="minorEastAsia" w:eastAsiaTheme="minorEastAsia"/>
          <w:color w:val="auto"/>
        </w:rPr>
        <w:t>、服务实施要求</w:t>
      </w:r>
      <w:bookmarkStart w:id="10" w:name="_Toc342039156"/>
      <w:bookmarkStart w:id="11" w:name="_Toc319413066"/>
    </w:p>
    <w:p>
      <w:pPr>
        <w:numPr>
          <w:ilvl w:val="0"/>
          <w:numId w:val="7"/>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安全服务供应商应详细描述安全服务过程中人员的组成及各自职责的划分。</w:t>
      </w:r>
    </w:p>
    <w:p>
      <w:pPr>
        <w:numPr>
          <w:ilvl w:val="0"/>
          <w:numId w:val="7"/>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安全服务供应商应配置有经验的安全服务人员进行本项目的服务工作，未经与招标方协商确认安全服务供应商不允许随意更换安全服务人员，安全服务供应商应确保选派高级咨询人员参与整个项目，确保项目的进度和质量。</w:t>
      </w:r>
    </w:p>
    <w:p>
      <w:pPr>
        <w:numPr>
          <w:ilvl w:val="0"/>
          <w:numId w:val="7"/>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本项目实施过程中所使用到的各种工具软件由安全服务供应商推荐，经</w:t>
      </w:r>
      <w:r>
        <w:rPr>
          <w:rFonts w:hint="eastAsia" w:asciiTheme="minorEastAsia" w:hAnsiTheme="minorEastAsia" w:eastAsiaTheme="minorEastAsia"/>
          <w:color w:val="auto"/>
          <w:lang w:eastAsia="zh-CN"/>
        </w:rPr>
        <w:t>甲方</w:t>
      </w:r>
      <w:r>
        <w:rPr>
          <w:rFonts w:hint="eastAsia" w:asciiTheme="minorEastAsia" w:hAnsiTheme="minorEastAsia" w:eastAsiaTheme="minorEastAsia"/>
          <w:color w:val="auto"/>
        </w:rPr>
        <w:t>确认后由安全服务供应商提供并在安全服务中使用。</w:t>
      </w:r>
    </w:p>
    <w:p>
      <w:pPr>
        <w:numPr>
          <w:ilvl w:val="0"/>
          <w:numId w:val="7"/>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安全服务工具软件运行可能需要的硬件平台（如笔记本电脑、PC、工作站等）和操作系统软件等由安全服务供应商推荐，经</w:t>
      </w:r>
      <w:r>
        <w:rPr>
          <w:rFonts w:hint="eastAsia" w:asciiTheme="minorEastAsia" w:hAnsiTheme="minorEastAsia" w:eastAsiaTheme="minorEastAsia"/>
          <w:color w:val="auto"/>
          <w:lang w:eastAsia="zh-CN"/>
        </w:rPr>
        <w:t>甲方</w:t>
      </w:r>
      <w:r>
        <w:rPr>
          <w:rFonts w:hint="eastAsia" w:asciiTheme="minorEastAsia" w:hAnsiTheme="minorEastAsia" w:eastAsiaTheme="minorEastAsia"/>
          <w:color w:val="auto"/>
        </w:rPr>
        <w:t>确认后由安全服务供应商提供并在评估中使用。</w:t>
      </w:r>
    </w:p>
    <w:p>
      <w:pPr>
        <w:numPr>
          <w:ilvl w:val="0"/>
          <w:numId w:val="7"/>
        </w:numPr>
        <w:spacing w:after="156" w:afterLines="50"/>
        <w:rPr>
          <w:rFonts w:hint="eastAsia" w:asciiTheme="minorEastAsia" w:hAnsiTheme="minorEastAsia" w:eastAsiaTheme="minorEastAsia"/>
          <w:color w:val="auto"/>
        </w:rPr>
      </w:pPr>
      <w:r>
        <w:rPr>
          <w:rFonts w:hint="eastAsia" w:asciiTheme="minorEastAsia" w:hAnsiTheme="minorEastAsia" w:eastAsiaTheme="minorEastAsia"/>
          <w:color w:val="auto"/>
        </w:rPr>
        <w:t>安全服务需要的运行环境（如场地、网络环境等）由</w:t>
      </w:r>
      <w:r>
        <w:rPr>
          <w:rFonts w:hint="eastAsia" w:asciiTheme="minorEastAsia" w:hAnsiTheme="minorEastAsia" w:eastAsiaTheme="minorEastAsia"/>
          <w:color w:val="auto"/>
          <w:lang w:eastAsia="zh-CN"/>
        </w:rPr>
        <w:t>甲方</w:t>
      </w:r>
      <w:r>
        <w:rPr>
          <w:rFonts w:hint="eastAsia" w:asciiTheme="minorEastAsia" w:hAnsiTheme="minorEastAsia" w:eastAsiaTheme="minorEastAsia"/>
          <w:color w:val="auto"/>
        </w:rPr>
        <w:t>提供，安全服务供应商应详细描述</w:t>
      </w:r>
      <w:r>
        <w:rPr>
          <w:rFonts w:hint="eastAsia" w:asciiTheme="minorEastAsia" w:hAnsiTheme="minorEastAsia" w:eastAsiaTheme="minorEastAsia"/>
          <w:color w:val="auto"/>
          <w:lang w:eastAsia="zh-CN"/>
        </w:rPr>
        <w:t>甲方</w:t>
      </w:r>
      <w:r>
        <w:rPr>
          <w:rFonts w:hint="eastAsia" w:asciiTheme="minorEastAsia" w:hAnsiTheme="minorEastAsia" w:eastAsiaTheme="minorEastAsia"/>
          <w:color w:val="auto"/>
        </w:rPr>
        <w:t>的运行环境的具体要求。</w:t>
      </w:r>
    </w:p>
    <w:p>
      <w:pPr>
        <w:numPr>
          <w:ilvl w:val="0"/>
          <w:numId w:val="7"/>
        </w:numPr>
        <w:rPr>
          <w:rFonts w:hint="eastAsia" w:asciiTheme="minorEastAsia" w:hAnsiTheme="minorEastAsia" w:eastAsiaTheme="minorEastAsia"/>
          <w:color w:val="auto"/>
        </w:rPr>
      </w:pPr>
      <w:r>
        <w:rPr>
          <w:rFonts w:hint="eastAsia" w:asciiTheme="minorEastAsia" w:hAnsiTheme="minorEastAsia" w:eastAsiaTheme="minorEastAsia"/>
          <w:color w:val="auto"/>
        </w:rPr>
        <w:t>安全服务应实施风险控制</w:t>
      </w:r>
      <w:bookmarkEnd w:id="10"/>
      <w:bookmarkEnd w:id="11"/>
      <w:r>
        <w:rPr>
          <w:rFonts w:hint="eastAsia" w:asciiTheme="minorEastAsia" w:hAnsiTheme="minorEastAsia" w:eastAsiaTheme="minorEastAsia"/>
          <w:color w:val="auto"/>
        </w:rPr>
        <w:t>：</w:t>
      </w:r>
    </w:p>
    <w:p>
      <w:pPr>
        <w:pStyle w:val="2"/>
        <w:numPr>
          <w:ilvl w:val="1"/>
          <w:numId w:val="7"/>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在进行漏洞扫描和安全配置核查前，安全服务供应商需进行小范围的模拟试验，检验漏洞扫描和安全配置核查的有效性和安全可靠性。</w:t>
      </w:r>
    </w:p>
    <w:p>
      <w:pPr>
        <w:pStyle w:val="2"/>
        <w:numPr>
          <w:ilvl w:val="1"/>
          <w:numId w:val="7"/>
        </w:numPr>
        <w:spacing w:after="156"/>
        <w:ind w:firstLineChars="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在漏洞扫描和安全配置核查过程中安全服务供应商应对操作的每一个步骤及系统状态进行详细记录，一旦发现异常立刻退回上一步。</w:t>
      </w:r>
    </w:p>
    <w:p>
      <w:pPr>
        <w:pStyle w:val="2"/>
        <w:numPr>
          <w:ilvl w:val="1"/>
          <w:numId w:val="7"/>
        </w:numPr>
        <w:spacing w:after="156"/>
        <w:ind w:firstLineChars="0"/>
        <w:rPr>
          <w:rFonts w:asciiTheme="minorEastAsia" w:hAnsiTheme="minorEastAsia" w:eastAsiaTheme="minorEastAsia"/>
          <w:color w:val="auto"/>
        </w:rPr>
      </w:pPr>
      <w:r>
        <w:rPr>
          <w:rFonts w:hint="eastAsia" w:asciiTheme="minorEastAsia" w:hAnsiTheme="minorEastAsia" w:eastAsiaTheme="minorEastAsia"/>
          <w:color w:val="auto"/>
          <w:szCs w:val="21"/>
        </w:rPr>
        <w:t>在漏洞扫描和安全配置核查过程中，由</w:t>
      </w:r>
      <w:r>
        <w:rPr>
          <w:rFonts w:hint="eastAsia" w:asciiTheme="minorEastAsia" w:hAnsiTheme="minorEastAsia" w:eastAsiaTheme="minorEastAsia"/>
          <w:color w:val="auto"/>
          <w:szCs w:val="21"/>
          <w:lang w:eastAsia="zh-CN"/>
        </w:rPr>
        <w:t>甲方</w:t>
      </w:r>
      <w:r>
        <w:rPr>
          <w:rFonts w:hint="eastAsia" w:asciiTheme="minorEastAsia" w:hAnsiTheme="minorEastAsia" w:eastAsiaTheme="minorEastAsia"/>
          <w:color w:val="auto"/>
          <w:szCs w:val="21"/>
        </w:rPr>
        <w:t>相关人员全程跟进，对要检查的系统进行确认，对可能存在的风险由安全服务供应商工程人员及时提出，确认后再进行漏洞扫描和安全配置核查。</w:t>
      </w:r>
    </w:p>
    <w:p>
      <w:pPr>
        <w:pStyle w:val="2"/>
        <w:numPr>
          <w:ilvl w:val="0"/>
          <w:numId w:val="0"/>
        </w:numPr>
        <w:spacing w:after="156"/>
        <w:ind w:left="420" w:leftChars="0"/>
        <w:rPr>
          <w:rFonts w:asciiTheme="minorEastAsia" w:hAnsiTheme="minorEastAsia" w:eastAsiaTheme="minorEastAsia"/>
          <w:color w:val="auto"/>
        </w:rPr>
      </w:pPr>
    </w:p>
    <w:p>
      <w:pPr>
        <w:numPr>
          <w:ilvl w:val="0"/>
          <w:numId w:val="8"/>
        </w:numPr>
        <w:outlineLvl w:val="1"/>
        <w:rPr>
          <w:rFonts w:hint="eastAsia" w:asciiTheme="minorEastAsia" w:hAnsiTheme="minorEastAsia" w:eastAsiaTheme="minorEastAsia"/>
          <w:color w:val="auto"/>
        </w:rPr>
      </w:pPr>
      <w:r>
        <w:rPr>
          <w:rFonts w:hint="eastAsia" w:asciiTheme="minorEastAsia" w:hAnsiTheme="minorEastAsia" w:eastAsiaTheme="minorEastAsia"/>
          <w:color w:val="auto"/>
        </w:rPr>
        <w:t>计划实施任务表</w:t>
      </w:r>
    </w:p>
    <w:tbl>
      <w:tblPr>
        <w:tblStyle w:val="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951"/>
        <w:gridCol w:w="1371"/>
        <w:gridCol w:w="1276"/>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序号</w:t>
            </w:r>
          </w:p>
        </w:tc>
        <w:tc>
          <w:tcPr>
            <w:tcW w:w="1951" w:type="dxa"/>
          </w:tcPr>
          <w:p>
            <w:pPr>
              <w:pStyle w:val="9"/>
              <w:jc w:val="center"/>
              <w:rPr>
                <w:rFonts w:ascii="宋体" w:hAnsi="宋体"/>
                <w:color w:val="auto"/>
              </w:rPr>
            </w:pPr>
            <w:r>
              <w:rPr>
                <w:rFonts w:hint="eastAsia" w:ascii="宋体" w:hAnsi="宋体"/>
                <w:color w:val="auto"/>
              </w:rPr>
              <w:t>任务名称</w:t>
            </w:r>
          </w:p>
        </w:tc>
        <w:tc>
          <w:tcPr>
            <w:tcW w:w="1371" w:type="dxa"/>
          </w:tcPr>
          <w:p>
            <w:pPr>
              <w:pStyle w:val="9"/>
              <w:jc w:val="center"/>
              <w:rPr>
                <w:rFonts w:ascii="宋体" w:hAnsi="宋体"/>
                <w:color w:val="auto"/>
              </w:rPr>
            </w:pPr>
            <w:r>
              <w:rPr>
                <w:rFonts w:hint="eastAsia" w:ascii="宋体" w:hAnsi="宋体"/>
                <w:color w:val="auto"/>
              </w:rPr>
              <w:t>计划开始时间</w:t>
            </w:r>
          </w:p>
        </w:tc>
        <w:tc>
          <w:tcPr>
            <w:tcW w:w="1276" w:type="dxa"/>
          </w:tcPr>
          <w:p>
            <w:pPr>
              <w:pStyle w:val="9"/>
              <w:jc w:val="center"/>
              <w:rPr>
                <w:rFonts w:ascii="宋体" w:hAnsi="宋体"/>
                <w:color w:val="auto"/>
              </w:rPr>
            </w:pPr>
            <w:r>
              <w:rPr>
                <w:rFonts w:hint="eastAsia" w:ascii="宋体" w:hAnsi="宋体"/>
                <w:color w:val="auto"/>
              </w:rPr>
              <w:t>计划完成时间</w:t>
            </w:r>
          </w:p>
        </w:tc>
        <w:tc>
          <w:tcPr>
            <w:tcW w:w="2861" w:type="dxa"/>
          </w:tcPr>
          <w:p>
            <w:pPr>
              <w:pStyle w:val="9"/>
              <w:jc w:val="center"/>
              <w:rPr>
                <w:rFonts w:ascii="宋体" w:hAnsi="宋体"/>
                <w:color w:val="auto"/>
              </w:rPr>
            </w:pPr>
            <w:r>
              <w:rPr>
                <w:rFonts w:hint="eastAsia" w:ascii="宋体" w:hAnsi="宋体"/>
                <w:color w:val="auto"/>
              </w:rPr>
              <w:t>服务输出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spacing w:line="240" w:lineRule="auto"/>
              <w:jc w:val="center"/>
              <w:rPr>
                <w:rFonts w:ascii="宋体" w:hAnsi="宋体"/>
                <w:color w:val="auto"/>
              </w:rPr>
            </w:pPr>
            <w:r>
              <w:rPr>
                <w:rFonts w:hint="eastAsia" w:ascii="宋体" w:hAnsi="宋体"/>
                <w:color w:val="auto"/>
              </w:rPr>
              <w:t>1</w:t>
            </w:r>
          </w:p>
        </w:tc>
        <w:tc>
          <w:tcPr>
            <w:tcW w:w="1951" w:type="dxa"/>
          </w:tcPr>
          <w:p>
            <w:pPr>
              <w:pStyle w:val="9"/>
              <w:spacing w:line="240" w:lineRule="auto"/>
              <w:jc w:val="center"/>
              <w:rPr>
                <w:rFonts w:ascii="宋体" w:hAnsi="宋体"/>
                <w:color w:val="auto"/>
              </w:rPr>
            </w:pPr>
          </w:p>
        </w:tc>
        <w:tc>
          <w:tcPr>
            <w:tcW w:w="1371" w:type="dxa"/>
          </w:tcPr>
          <w:p>
            <w:pPr>
              <w:pStyle w:val="9"/>
              <w:spacing w:line="240" w:lineRule="auto"/>
              <w:jc w:val="center"/>
              <w:rPr>
                <w:rFonts w:ascii="宋体" w:hAnsi="宋体"/>
                <w:color w:val="auto"/>
              </w:rPr>
            </w:pPr>
          </w:p>
        </w:tc>
        <w:tc>
          <w:tcPr>
            <w:tcW w:w="1276" w:type="dxa"/>
          </w:tcPr>
          <w:p>
            <w:pPr>
              <w:pStyle w:val="9"/>
              <w:spacing w:line="240" w:lineRule="auto"/>
              <w:jc w:val="center"/>
              <w:rPr>
                <w:rFonts w:ascii="宋体" w:hAnsi="宋体"/>
                <w:color w:val="auto"/>
              </w:rPr>
            </w:pPr>
          </w:p>
        </w:tc>
        <w:tc>
          <w:tcPr>
            <w:tcW w:w="2861" w:type="dxa"/>
          </w:tcPr>
          <w:p>
            <w:pPr>
              <w:pStyle w:val="9"/>
              <w:spacing w:line="240" w:lineRule="auto"/>
              <w:jc w:val="center"/>
              <w:rPr>
                <w:rFonts w:ascii="宋体" w:hAnsi="宋体"/>
                <w:color w:val="auto"/>
              </w:rPr>
            </w:pP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37" w:type="dxa"/>
          </w:tcPr>
          <w:p>
            <w:pPr>
              <w:pStyle w:val="9"/>
              <w:spacing w:line="240" w:lineRule="auto"/>
              <w:jc w:val="center"/>
              <w:rPr>
                <w:rFonts w:ascii="宋体" w:hAnsi="宋体"/>
                <w:color w:val="auto"/>
              </w:rPr>
            </w:pPr>
            <w:r>
              <w:rPr>
                <w:rFonts w:hint="eastAsia" w:ascii="宋体" w:hAnsi="宋体"/>
                <w:color w:val="auto"/>
              </w:rPr>
              <w:t>2</w:t>
            </w:r>
          </w:p>
        </w:tc>
        <w:tc>
          <w:tcPr>
            <w:tcW w:w="1951" w:type="dxa"/>
          </w:tcPr>
          <w:p>
            <w:pPr>
              <w:pStyle w:val="9"/>
              <w:spacing w:line="240" w:lineRule="auto"/>
              <w:jc w:val="center"/>
              <w:rPr>
                <w:rFonts w:ascii="宋体" w:hAnsi="宋体"/>
                <w:color w:val="auto"/>
              </w:rPr>
            </w:pPr>
          </w:p>
        </w:tc>
        <w:tc>
          <w:tcPr>
            <w:tcW w:w="1371" w:type="dxa"/>
          </w:tcPr>
          <w:p>
            <w:pPr>
              <w:pStyle w:val="9"/>
              <w:spacing w:line="240" w:lineRule="auto"/>
              <w:ind w:firstLine="210" w:firstLineChars="100"/>
              <w:rPr>
                <w:rFonts w:ascii="宋体" w:hAnsi="宋体"/>
                <w:color w:val="auto"/>
              </w:rPr>
            </w:pPr>
          </w:p>
        </w:tc>
        <w:tc>
          <w:tcPr>
            <w:tcW w:w="1276" w:type="dxa"/>
          </w:tcPr>
          <w:p>
            <w:pPr>
              <w:pStyle w:val="9"/>
              <w:spacing w:line="240" w:lineRule="auto"/>
              <w:jc w:val="center"/>
              <w:rPr>
                <w:rFonts w:ascii="宋体" w:hAnsi="宋体"/>
                <w:color w:val="auto"/>
              </w:rPr>
            </w:pPr>
          </w:p>
        </w:tc>
        <w:tc>
          <w:tcPr>
            <w:tcW w:w="2861" w:type="dxa"/>
          </w:tcPr>
          <w:p>
            <w:pPr>
              <w:pStyle w:val="9"/>
              <w:spacing w:line="240" w:lineRule="auto"/>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3</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4</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5</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6</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7</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8</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tcPr>
          <w:p>
            <w:pPr>
              <w:pStyle w:val="9"/>
              <w:jc w:val="center"/>
              <w:rPr>
                <w:rFonts w:ascii="宋体" w:hAnsi="宋体"/>
                <w:color w:val="auto"/>
              </w:rPr>
            </w:pPr>
            <w:r>
              <w:rPr>
                <w:rFonts w:hint="eastAsia" w:ascii="宋体" w:hAnsi="宋体"/>
                <w:color w:val="auto"/>
              </w:rPr>
              <w:t>9</w:t>
            </w:r>
          </w:p>
        </w:tc>
        <w:tc>
          <w:tcPr>
            <w:tcW w:w="1951" w:type="dxa"/>
          </w:tcPr>
          <w:p>
            <w:pPr>
              <w:pStyle w:val="9"/>
              <w:jc w:val="center"/>
              <w:rPr>
                <w:rFonts w:ascii="宋体" w:hAnsi="宋体"/>
                <w:color w:val="auto"/>
              </w:rPr>
            </w:pPr>
          </w:p>
        </w:tc>
        <w:tc>
          <w:tcPr>
            <w:tcW w:w="1371" w:type="dxa"/>
          </w:tcPr>
          <w:p>
            <w:pPr>
              <w:pStyle w:val="9"/>
              <w:jc w:val="center"/>
              <w:rPr>
                <w:rFonts w:ascii="宋体" w:hAnsi="宋体"/>
                <w:color w:val="auto"/>
              </w:rPr>
            </w:pPr>
          </w:p>
        </w:tc>
        <w:tc>
          <w:tcPr>
            <w:tcW w:w="1276" w:type="dxa"/>
          </w:tcPr>
          <w:p>
            <w:pPr>
              <w:pStyle w:val="9"/>
              <w:jc w:val="center"/>
              <w:rPr>
                <w:rFonts w:ascii="宋体" w:hAnsi="宋体"/>
                <w:color w:val="auto"/>
              </w:rPr>
            </w:pPr>
          </w:p>
        </w:tc>
        <w:tc>
          <w:tcPr>
            <w:tcW w:w="2861" w:type="dxa"/>
          </w:tcPr>
          <w:p>
            <w:pPr>
              <w:pStyle w:val="9"/>
              <w:jc w:val="center"/>
              <w:rPr>
                <w:rFonts w:ascii="宋体" w:hAnsi="宋体"/>
                <w:color w:val="auto"/>
              </w:rPr>
            </w:pPr>
          </w:p>
        </w:tc>
      </w:tr>
    </w:tbl>
    <w:p>
      <w:pPr>
        <w:rPr>
          <w:color w:val="auto"/>
        </w:rPr>
      </w:pPr>
    </w:p>
    <w:p>
      <w:pPr>
        <w:rPr>
          <w:color w:val="auto"/>
        </w:rPr>
      </w:pPr>
    </w:p>
    <w:bookmarkEnd w:id="12"/>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FB76B"/>
    <w:multiLevelType w:val="singleLevel"/>
    <w:tmpl w:val="D1FFB76B"/>
    <w:lvl w:ilvl="0" w:tentative="0">
      <w:start w:val="6"/>
      <w:numFmt w:val="decimal"/>
      <w:suff w:val="nothing"/>
      <w:lvlText w:val="%1、"/>
      <w:lvlJc w:val="left"/>
    </w:lvl>
  </w:abstractNum>
  <w:abstractNum w:abstractNumId="1">
    <w:nsid w:val="132B121C"/>
    <w:multiLevelType w:val="multilevel"/>
    <w:tmpl w:val="132B121C"/>
    <w:lvl w:ilvl="0" w:tentative="0">
      <w:start w:val="1"/>
      <w:numFmt w:val="bullet"/>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9836D48"/>
    <w:multiLevelType w:val="multilevel"/>
    <w:tmpl w:val="19836D48"/>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rPr>
        <w:rFonts w:hint="eastAsia"/>
      </w:rPr>
    </w:lvl>
    <w:lvl w:ilvl="2" w:tentative="0">
      <w:start w:val="1"/>
      <w:numFmt w:val="decimal"/>
      <w:isLgl/>
      <w:suff w:val="space"/>
      <w:lvlText w:val="%1.%2.%3 "/>
      <w:lvlJc w:val="left"/>
      <w:pPr>
        <w:ind w:left="907"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pStyle w:val="8"/>
      <w:isLgl/>
      <w:suff w:val="space"/>
      <w:lvlText w:val="图 %1.%7 "/>
      <w:lvlJc w:val="left"/>
      <w:pPr>
        <w:ind w:left="0" w:firstLine="0"/>
      </w:pPr>
      <w:rPr>
        <w:rFonts w:hint="eastAsia"/>
      </w:rPr>
    </w:lvl>
    <w:lvl w:ilvl="7" w:tentative="0">
      <w:start w:val="1"/>
      <w:numFmt w:val="decimal"/>
      <w:lvlRestart w:val="1"/>
      <w:pStyle w:val="7"/>
      <w:isLgl/>
      <w:suff w:val="space"/>
      <w:lvlText w:val="表 %1.%8 "/>
      <w:lvlJc w:val="left"/>
      <w:pPr>
        <w:ind w:left="2552"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456E4576"/>
    <w:multiLevelType w:val="singleLevel"/>
    <w:tmpl w:val="456E4576"/>
    <w:lvl w:ilvl="0" w:tentative="0">
      <w:start w:val="1"/>
      <w:numFmt w:val="decimal"/>
      <w:lvlText w:val="%1."/>
      <w:lvlJc w:val="left"/>
      <w:pPr>
        <w:ind w:left="425" w:hanging="425"/>
      </w:pPr>
      <w:rPr>
        <w:rFonts w:hint="default"/>
      </w:rPr>
    </w:lvl>
  </w:abstractNum>
  <w:abstractNum w:abstractNumId="5">
    <w:nsid w:val="62C5711B"/>
    <w:multiLevelType w:val="multilevel"/>
    <w:tmpl w:val="62C5711B"/>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63F563A"/>
    <w:multiLevelType w:val="multilevel"/>
    <w:tmpl w:val="663F563A"/>
    <w:lvl w:ilvl="0" w:tentative="0">
      <w:start w:val="1"/>
      <w:numFmt w:val="bullet"/>
      <w:lvlText w:val=""/>
      <w:lvlJc w:val="left"/>
      <w:pPr>
        <w:tabs>
          <w:tab w:val="left" w:pos="846"/>
        </w:tabs>
        <w:ind w:left="846"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AAD2E90"/>
    <w:multiLevelType w:val="multilevel"/>
    <w:tmpl w:val="6AAD2E90"/>
    <w:lvl w:ilvl="0" w:tentative="0">
      <w:start w:val="1"/>
      <w:numFmt w:val="bullet"/>
      <w:lvlText w:val=""/>
      <w:lvlJc w:val="left"/>
      <w:pPr>
        <w:tabs>
          <w:tab w:val="left" w:pos="900"/>
        </w:tabs>
        <w:ind w:left="900" w:hanging="420"/>
      </w:pPr>
      <w:rPr>
        <w:rFonts w:hint="default" w:ascii="Wingdings" w:hAnsi="Wingdings"/>
      </w:rPr>
    </w:lvl>
    <w:lvl w:ilvl="1" w:tentative="0">
      <w:start w:val="1"/>
      <w:numFmt w:val="lowerLetter"/>
      <w:lvlText w:val="%2."/>
      <w:lvlJc w:val="left"/>
      <w:pPr>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277D9"/>
    <w:rsid w:val="46C77224"/>
    <w:rsid w:val="625277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表格标注（绿盟科技）"/>
    <w:basedOn w:val="8"/>
    <w:next w:val="9"/>
    <w:qFormat/>
    <w:uiPriority w:val="0"/>
    <w:pPr>
      <w:numPr>
        <w:ilvl w:val="7"/>
      </w:numPr>
      <w:ind w:left="0"/>
    </w:pPr>
  </w:style>
  <w:style w:type="paragraph" w:customStyle="1" w:styleId="8">
    <w:name w:val="插图标注（绿盟科技）"/>
    <w:next w:val="9"/>
    <w:qFormat/>
    <w:uiPriority w:val="0"/>
    <w:pPr>
      <w:numPr>
        <w:ilvl w:val="6"/>
        <w:numId w:val="1"/>
      </w:numPr>
      <w:spacing w:after="156"/>
      <w:jc w:val="center"/>
    </w:pPr>
    <w:rPr>
      <w:rFonts w:ascii="Arial" w:hAnsi="Arial" w:eastAsia="宋体" w:cs="Arial"/>
      <w:sz w:val="21"/>
      <w:szCs w:val="21"/>
      <w:lang w:val="en-US" w:eastAsia="zh-CN" w:bidi="ar-SA"/>
    </w:rPr>
  </w:style>
  <w:style w:type="paragraph" w:customStyle="1" w:styleId="9">
    <w:name w:val="正文（绿盟科技）"/>
    <w:qFormat/>
    <w:uiPriority w:val="0"/>
    <w:pPr>
      <w:spacing w:line="300" w:lineRule="auto"/>
    </w:pPr>
    <w:rPr>
      <w:rFonts w:ascii="Arial" w:hAnsi="Arial"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2022-04-13T11:03:00Z</dcterms:created>
  <dc:creator>WPS_132627929</dc:creator>
  <cp:lastModifiedBy>WPS_132627929</cp:lastModifiedBy>
  <dcterms:modified xsi:type="dcterms:W3CDTF">2022-04-13T13:02:31Z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