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室内地面瓷砖修复项目清单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报价单位：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人、联系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方式：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报价日期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725"/>
        <w:gridCol w:w="1500"/>
        <w:gridCol w:w="136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25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500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61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946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总计费用（元）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底层地坪及瓷砖拆除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垃圾运送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地面铺砖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水泥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砂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材料及运输费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美缝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地脚线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保洁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合计（含税）</w:t>
            </w:r>
          </w:p>
        </w:tc>
        <w:tc>
          <w:tcPr>
            <w:tcW w:w="48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报价包含与项目有关全部人工和材料费（瓷砖除外）；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承接方应具备相应资质，按国家有关标准施工，施工时保护现场环境，完工后做好卫生。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该项目工期不超过7个日历日。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A373"/>
    <w:multiLevelType w:val="singleLevel"/>
    <w:tmpl w:val="0380A3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6242"/>
    <w:rsid w:val="6CA56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2021-07-30T14:27:00Z</dcterms:created>
  <dc:creator>WPS_132627929</dc:creator>
  <cp:lastModifiedBy>WPS_132627929</cp:lastModifiedBy>
  <dcterms:modified xsi:type="dcterms:W3CDTF">2021-07-30T14:28:08Z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